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bookmarkStart w:id="0" w:name="_GoBack"/>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eastAsia="zh-CN"/>
        </w:rPr>
        <w:t>药品分包机</w:t>
      </w:r>
      <w:r>
        <w:rPr>
          <w:rFonts w:hint="eastAsia" w:asciiTheme="majorEastAsia" w:hAnsiTheme="majorEastAsia" w:eastAsiaTheme="majorEastAsia"/>
          <w:b/>
          <w:sz w:val="32"/>
          <w:szCs w:val="32"/>
        </w:rPr>
        <w:t>项目初步参数论证征集意见表</w:t>
      </w:r>
    </w:p>
    <w:bookmarkEnd w:id="0"/>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4"/>
          <w:rFonts w:hint="eastAsia" w:ascii="仿宋" w:hAnsi="仿宋" w:eastAsia="仿宋" w:cs="仿宋"/>
          <w:b w:val="0"/>
          <w:bCs/>
          <w:color w:val="auto"/>
          <w:sz w:val="21"/>
          <w:szCs w:val="21"/>
          <w:lang w:eastAsia="zh-CN"/>
        </w:rPr>
        <w:t>具备</w:t>
      </w:r>
      <w:r>
        <w:rPr>
          <w:rStyle w:val="14"/>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4"/>
          <w:rFonts w:hint="eastAsia" w:ascii="仿宋" w:hAnsi="仿宋" w:eastAsia="仿宋" w:cs="仿宋"/>
          <w:b/>
          <w:bCs w:val="0"/>
          <w:color w:val="auto"/>
          <w:sz w:val="21"/>
          <w:szCs w:val="21"/>
          <w:lang w:eastAsia="zh-CN"/>
        </w:rPr>
        <w:t>或具备</w:t>
      </w:r>
      <w:r>
        <w:rPr>
          <w:rStyle w:val="14"/>
          <w:rFonts w:hint="eastAsia" w:ascii="仿宋" w:hAnsi="仿宋" w:eastAsia="仿宋" w:cs="仿宋"/>
          <w:b/>
          <w:bCs w:val="0"/>
          <w:color w:val="auto"/>
          <w:sz w:val="21"/>
          <w:szCs w:val="21"/>
          <w:lang w:val="en-US" w:eastAsia="zh-CN"/>
        </w:rPr>
        <w:t>CMA【或CNAS】资质检测机构）</w:t>
      </w:r>
      <w:r>
        <w:rPr>
          <w:rStyle w:val="14"/>
          <w:rFonts w:hint="eastAsia" w:ascii="仿宋" w:hAnsi="仿宋" w:eastAsia="仿宋" w:cs="仿宋"/>
          <w:b w:val="0"/>
          <w:bCs/>
          <w:color w:val="auto"/>
          <w:sz w:val="21"/>
          <w:szCs w:val="21"/>
          <w:lang w:val="en-US" w:eastAsia="zh-CN"/>
        </w:rPr>
        <w:t>出具的</w:t>
      </w:r>
      <w:r>
        <w:rPr>
          <w:rStyle w:val="14"/>
          <w:rFonts w:hint="eastAsia" w:ascii="仿宋" w:hAnsi="仿宋" w:eastAsia="仿宋" w:cs="仿宋"/>
          <w:b w:val="0"/>
          <w:bCs/>
          <w:color w:val="auto"/>
          <w:sz w:val="21"/>
          <w:szCs w:val="21"/>
        </w:rPr>
        <w:t>质检报告原件扫描件</w:t>
      </w:r>
      <w:r>
        <w:rPr>
          <w:rStyle w:val="14"/>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4"/>
          <w:rFonts w:hint="eastAsia" w:ascii="仿宋" w:hAnsi="仿宋" w:eastAsia="仿宋" w:cs="仿宋"/>
          <w:b w:val="0"/>
          <w:bCs/>
          <w:color w:val="auto"/>
          <w:sz w:val="21"/>
          <w:szCs w:val="21"/>
        </w:rPr>
        <w:t>食药监局</w:t>
      </w:r>
      <w:r>
        <w:rPr>
          <w:rStyle w:val="14"/>
          <w:rFonts w:hint="eastAsia" w:ascii="仿宋" w:hAnsi="仿宋" w:eastAsia="仿宋" w:cs="仿宋"/>
          <w:b w:val="0"/>
          <w:bCs/>
          <w:color w:val="auto"/>
          <w:sz w:val="21"/>
          <w:szCs w:val="21"/>
          <w:lang w:eastAsia="zh-CN"/>
        </w:rPr>
        <w:t>或</w:t>
      </w:r>
      <w:r>
        <w:rPr>
          <w:rStyle w:val="14"/>
          <w:rFonts w:hint="eastAsia" w:ascii="仿宋" w:hAnsi="仿宋" w:eastAsia="仿宋" w:cs="仿宋"/>
          <w:b w:val="0"/>
          <w:bCs/>
          <w:color w:val="auto"/>
          <w:sz w:val="21"/>
          <w:szCs w:val="21"/>
        </w:rPr>
        <w:t>其下属单位</w:t>
      </w:r>
      <w:r>
        <w:rPr>
          <w:rStyle w:val="14"/>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9"/>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780"/>
        <w:gridCol w:w="2400"/>
        <w:gridCol w:w="1095"/>
        <w:gridCol w:w="675"/>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50"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675"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780"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240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9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675"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400" w:type="dxa"/>
            <w:vAlign w:val="top"/>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单机机储药品种类≥320种;可</w:t>
            </w:r>
            <w:r>
              <w:rPr>
                <w:rFonts w:hint="default" w:ascii="仿宋_GB2312" w:hAnsi="宋体" w:eastAsia="仿宋_GB2312" w:cs="宋体"/>
                <w:kern w:val="0"/>
                <w:sz w:val="24"/>
                <w:lang w:val="en-US" w:eastAsia="zh-CN"/>
              </w:rPr>
              <w:t>在医院内进行升级，</w:t>
            </w:r>
            <w:r>
              <w:rPr>
                <w:rFonts w:hint="eastAsia" w:ascii="仿宋_GB2312" w:hAnsi="宋体" w:eastAsia="仿宋_GB2312" w:cs="宋体"/>
                <w:kern w:val="0"/>
                <w:sz w:val="24"/>
                <w:lang w:val="en-US" w:eastAsia="zh-CN"/>
              </w:rPr>
              <w:t>单机机储药品种类≥4</w:t>
            </w:r>
            <w:r>
              <w:rPr>
                <w:rFonts w:hint="default" w:ascii="仿宋_GB2312" w:hAnsi="宋体" w:eastAsia="仿宋_GB2312" w:cs="宋体"/>
                <w:kern w:val="0"/>
                <w:sz w:val="24"/>
                <w:lang w:val="en-US" w:eastAsia="zh-CN"/>
              </w:rPr>
              <w:t>8</w:t>
            </w:r>
            <w:r>
              <w:rPr>
                <w:rFonts w:hint="eastAsia" w:ascii="仿宋_GB2312" w:hAnsi="宋体" w:eastAsia="仿宋_GB2312" w:cs="宋体"/>
                <w:kern w:val="0"/>
                <w:sz w:val="24"/>
                <w:lang w:val="en-US" w:eastAsia="zh-CN"/>
              </w:rPr>
              <w:t>0种;</w:t>
            </w:r>
          </w:p>
        </w:tc>
        <w:tc>
          <w:tcPr>
            <w:tcW w:w="109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400" w:type="dxa"/>
            <w:vAlign w:val="top"/>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非机储药品种类≥64种，并配备2个外摆药槽，可交替使用（附图示说明）;</w:t>
            </w:r>
          </w:p>
        </w:tc>
        <w:tc>
          <w:tcPr>
            <w:tcW w:w="109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400" w:type="dxa"/>
            <w:vAlign w:val="top"/>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与医院</w:t>
            </w:r>
            <w:r>
              <w:rPr>
                <w:rFonts w:hint="default" w:ascii="仿宋_GB2312" w:hAnsi="宋体" w:eastAsia="仿宋_GB2312" w:cs="宋体"/>
                <w:kern w:val="0"/>
                <w:sz w:val="24"/>
                <w:lang w:val="en-US" w:eastAsia="zh-CN"/>
              </w:rPr>
              <w:t>HIS</w:t>
            </w:r>
            <w:r>
              <w:rPr>
                <w:rFonts w:hint="eastAsia" w:ascii="仿宋_GB2312" w:hAnsi="宋体" w:eastAsia="仿宋_GB2312" w:cs="宋体"/>
                <w:kern w:val="0"/>
                <w:sz w:val="24"/>
                <w:lang w:val="en-US" w:eastAsia="zh-CN"/>
              </w:rPr>
              <w:t>系统无缝连接，实时接收</w:t>
            </w:r>
            <w:r>
              <w:rPr>
                <w:rFonts w:hint="default" w:ascii="仿宋_GB2312" w:hAnsi="宋体" w:eastAsia="仿宋_GB2312" w:cs="宋体"/>
                <w:kern w:val="0"/>
                <w:sz w:val="24"/>
                <w:lang w:val="en-US" w:eastAsia="zh-CN"/>
              </w:rPr>
              <w:t>HIS</w:t>
            </w:r>
            <w:r>
              <w:rPr>
                <w:rFonts w:hint="eastAsia" w:ascii="仿宋_GB2312" w:hAnsi="宋体" w:eastAsia="仿宋_GB2312" w:cs="宋体"/>
                <w:kern w:val="0"/>
                <w:sz w:val="24"/>
                <w:lang w:val="en-US" w:eastAsia="zh-CN"/>
              </w:rPr>
              <w:t>传过来的医嘱用药信息，并提供相应的接口升级服务;</w:t>
            </w:r>
          </w:p>
        </w:tc>
        <w:tc>
          <w:tcPr>
            <w:tcW w:w="109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400" w:type="dxa"/>
            <w:vAlign w:val="top"/>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全中文操作系统，支持一维条码和二维条码的识别;</w:t>
            </w:r>
          </w:p>
        </w:tc>
        <w:tc>
          <w:tcPr>
            <w:tcW w:w="109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400" w:type="dxa"/>
            <w:vAlign w:val="top"/>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最高分包速度≥6</w:t>
            </w:r>
            <w:r>
              <w:rPr>
                <w:rFonts w:hint="default" w:ascii="仿宋_GB2312" w:hAnsi="宋体" w:eastAsia="仿宋_GB2312" w:cs="宋体"/>
                <w:kern w:val="0"/>
                <w:sz w:val="24"/>
                <w:lang w:val="en-US" w:eastAsia="zh-CN"/>
              </w:rPr>
              <w:t>0</w:t>
            </w:r>
            <w:r>
              <w:rPr>
                <w:rFonts w:hint="eastAsia" w:ascii="仿宋_GB2312" w:hAnsi="宋体" w:eastAsia="仿宋_GB2312" w:cs="宋体"/>
                <w:kern w:val="0"/>
                <w:sz w:val="24"/>
                <w:lang w:val="en-US" w:eastAsia="zh-CN"/>
              </w:rPr>
              <w:t>包</w:t>
            </w:r>
            <w:r>
              <w:rPr>
                <w:rFonts w:hint="default" w:ascii="仿宋_GB2312" w:hAnsi="宋体" w:eastAsia="仿宋_GB2312" w:cs="宋体"/>
                <w:kern w:val="0"/>
                <w:sz w:val="24"/>
                <w:lang w:val="en-US" w:eastAsia="zh-CN"/>
              </w:rPr>
              <w:t>/</w:t>
            </w:r>
            <w:r>
              <w:rPr>
                <w:rFonts w:hint="eastAsia" w:ascii="仿宋_GB2312" w:hAnsi="宋体" w:eastAsia="仿宋_GB2312" w:cs="宋体"/>
                <w:kern w:val="0"/>
                <w:sz w:val="24"/>
                <w:lang w:val="en-US" w:eastAsia="zh-CN"/>
              </w:rPr>
              <w:t>分;</w:t>
            </w:r>
          </w:p>
        </w:tc>
        <w:tc>
          <w:tcPr>
            <w:tcW w:w="109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400" w:type="dxa"/>
            <w:vAlign w:val="top"/>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具有自动纠错功能，当包装过程中发生多包、错包等差错时，自动在错包后打印错误提示信息并重新包装该包药品，要求图文说明;</w:t>
            </w:r>
          </w:p>
        </w:tc>
        <w:tc>
          <w:tcPr>
            <w:tcW w:w="109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400" w:type="dxa"/>
            <w:vAlign w:val="top"/>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药品分包机具有防污染设计：整个药品通路必须能够每天方便地进行清洁,不留任何死角，避免药物粉尘间的交叉污染，保证患者服药安全，要求图文说明;</w:t>
            </w:r>
          </w:p>
        </w:tc>
        <w:tc>
          <w:tcPr>
            <w:tcW w:w="109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400" w:type="dxa"/>
            <w:vAlign w:val="top"/>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中文语音提示功能，能够将各种信息采用中文进行有声提示;</w:t>
            </w:r>
          </w:p>
        </w:tc>
        <w:tc>
          <w:tcPr>
            <w:tcW w:w="109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400" w:type="dxa"/>
            <w:vAlign w:val="top"/>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电源：</w:t>
            </w:r>
            <w:r>
              <w:rPr>
                <w:rFonts w:hint="default" w:ascii="仿宋_GB2312" w:hAnsi="宋体" w:eastAsia="仿宋_GB2312" w:cs="宋体"/>
                <w:kern w:val="0"/>
                <w:sz w:val="24"/>
                <w:lang w:val="en-US" w:eastAsia="zh-CN"/>
              </w:rPr>
              <w:t>AC220V</w:t>
            </w:r>
            <w:r>
              <w:rPr>
                <w:rFonts w:hint="eastAsia" w:ascii="仿宋_GB2312" w:hAnsi="宋体" w:eastAsia="仿宋_GB2312" w:cs="宋体"/>
                <w:kern w:val="0"/>
                <w:sz w:val="24"/>
                <w:lang w:val="en-US" w:eastAsia="zh-CN"/>
              </w:rPr>
              <w:t>±</w:t>
            </w:r>
            <w:r>
              <w:rPr>
                <w:rFonts w:hint="default" w:ascii="仿宋_GB2312" w:hAnsi="宋体" w:eastAsia="仿宋_GB2312" w:cs="宋体"/>
                <w:kern w:val="0"/>
                <w:sz w:val="24"/>
                <w:lang w:val="en-US" w:eastAsia="zh-CN"/>
              </w:rPr>
              <w:t>10%  50~60HZ</w:t>
            </w:r>
            <w:r>
              <w:rPr>
                <w:rFonts w:hint="eastAsia" w:ascii="仿宋_GB2312" w:hAnsi="宋体" w:eastAsia="仿宋_GB2312" w:cs="宋体"/>
                <w:kern w:val="0"/>
                <w:sz w:val="24"/>
                <w:lang w:val="en-US" w:eastAsia="zh-CN"/>
              </w:rPr>
              <w:t>;</w:t>
            </w:r>
          </w:p>
        </w:tc>
        <w:tc>
          <w:tcPr>
            <w:tcW w:w="109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400" w:type="dxa"/>
            <w:vAlign w:val="top"/>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耗电量：不大于500W，可配UPS不间断电源使用;</w:t>
            </w:r>
          </w:p>
        </w:tc>
        <w:tc>
          <w:tcPr>
            <w:tcW w:w="109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400" w:type="dxa"/>
            <w:vAlign w:val="top"/>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主机自带紧急停止按钮;</w:t>
            </w:r>
          </w:p>
        </w:tc>
        <w:tc>
          <w:tcPr>
            <w:tcW w:w="109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400" w:type="dxa"/>
            <w:vAlign w:val="top"/>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机储药品储药部</w:t>
            </w:r>
          </w:p>
        </w:tc>
        <w:tc>
          <w:tcPr>
            <w:tcW w:w="109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400" w:type="dxa"/>
            <w:vAlign w:val="top"/>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机储药品药盒采用抽屉式结构容纳，药盒抽屉具有锁定装置;</w:t>
            </w:r>
          </w:p>
        </w:tc>
        <w:tc>
          <w:tcPr>
            <w:tcW w:w="109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400" w:type="dxa"/>
            <w:vAlign w:val="top"/>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立式、可靠墙摆放，不需特殊固定，可方便地移机;</w:t>
            </w:r>
          </w:p>
        </w:tc>
        <w:tc>
          <w:tcPr>
            <w:tcW w:w="109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400" w:type="dxa"/>
            <w:vAlign w:val="top"/>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可在不从药品分包机上取出药盒的状态下进行批量装填药品，一次至少可以为60个以上药盒填充药品，要求图文说明;</w:t>
            </w:r>
          </w:p>
        </w:tc>
        <w:tc>
          <w:tcPr>
            <w:tcW w:w="109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400" w:type="dxa"/>
            <w:vAlign w:val="top"/>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药品分包机具有防污染设计：整个药品通路必须能够每天方便地进行清洁,不留任何死角，避免药物粉尘间的交叉污染，保证患者服药安全;</w:t>
            </w:r>
          </w:p>
        </w:tc>
        <w:tc>
          <w:tcPr>
            <w:tcW w:w="109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400" w:type="dxa"/>
            <w:vAlign w:val="top"/>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完全单元化设计：药盒抽屉、外摆药托盘、包装单元等部件均为单元化设计，结构简洁，使维修维护更方便快捷，可实现即插即用。现场维修只用更换相应的单元，可实现快速维修;</w:t>
            </w:r>
          </w:p>
        </w:tc>
        <w:tc>
          <w:tcPr>
            <w:tcW w:w="109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400" w:type="dxa"/>
            <w:vAlign w:val="top"/>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储药盒采用全透明设计，有防潮、防紫外线、</w:t>
            </w:r>
            <w:r>
              <w:rPr>
                <w:rFonts w:hint="default" w:ascii="仿宋_GB2312" w:hAnsi="宋体" w:eastAsia="仿宋_GB2312" w:cs="宋体"/>
                <w:kern w:val="0"/>
                <w:sz w:val="24"/>
                <w:lang w:val="en-US" w:eastAsia="zh-CN"/>
              </w:rPr>
              <w:t>可清洗</w:t>
            </w:r>
            <w:r>
              <w:rPr>
                <w:rFonts w:hint="eastAsia" w:ascii="仿宋_GB2312" w:hAnsi="宋体" w:eastAsia="仿宋_GB2312" w:cs="宋体"/>
                <w:kern w:val="0"/>
                <w:sz w:val="24"/>
                <w:lang w:val="en-US" w:eastAsia="zh-CN"/>
              </w:rPr>
              <w:t>功能。可根据药品大小和使用频度联组使用，随时调整药品摆放量和药盒存放空间;</w:t>
            </w:r>
          </w:p>
        </w:tc>
        <w:tc>
          <w:tcPr>
            <w:tcW w:w="109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400" w:type="dxa"/>
            <w:vAlign w:val="top"/>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具有智能药盒装置，智能药盒自带嵌入式芯片，可随意放置在智能药盒抽屉中任何位置，系统自动识别盒内药品信息，智能药盒需标配。</w:t>
            </w:r>
          </w:p>
        </w:tc>
        <w:tc>
          <w:tcPr>
            <w:tcW w:w="109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400" w:type="dxa"/>
            <w:vAlign w:val="top"/>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今后药品品种更换，应免费更换相应的药盒;</w:t>
            </w:r>
          </w:p>
        </w:tc>
        <w:tc>
          <w:tcPr>
            <w:tcW w:w="109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400" w:type="dxa"/>
            <w:vAlign w:val="top"/>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摆药系统的操作界面</w:t>
            </w:r>
          </w:p>
        </w:tc>
        <w:tc>
          <w:tcPr>
            <w:tcW w:w="109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400" w:type="dxa"/>
            <w:vAlign w:val="top"/>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摆药系统携带的操作和信息显示系统为液晶触摸屏，直观、方便操作;</w:t>
            </w:r>
          </w:p>
        </w:tc>
        <w:tc>
          <w:tcPr>
            <w:tcW w:w="109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400" w:type="dxa"/>
            <w:vAlign w:val="top"/>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操作界面为中文显示;</w:t>
            </w:r>
          </w:p>
        </w:tc>
        <w:tc>
          <w:tcPr>
            <w:tcW w:w="109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400" w:type="dxa"/>
            <w:vAlign w:val="top"/>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各种预警以图文方式显示于操作界面;</w:t>
            </w:r>
          </w:p>
        </w:tc>
        <w:tc>
          <w:tcPr>
            <w:tcW w:w="109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400" w:type="dxa"/>
            <w:vAlign w:val="top"/>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外摆药槽（非机储药）</w:t>
            </w:r>
          </w:p>
        </w:tc>
        <w:tc>
          <w:tcPr>
            <w:tcW w:w="109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400" w:type="dxa"/>
            <w:vAlign w:val="top"/>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处方信息中有非机储药品需要添加时，外摆药槽可自动弹出，方便药师按照提示添加非机储药品;</w:t>
            </w:r>
          </w:p>
        </w:tc>
        <w:tc>
          <w:tcPr>
            <w:tcW w:w="109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400" w:type="dxa"/>
            <w:vAlign w:val="top"/>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非机储药品的添加通过打印方式将相关信息（所添加药品的名称、剂量、药品的摆放位置）打印出来，对照加药，方便药师操作;</w:t>
            </w:r>
          </w:p>
        </w:tc>
        <w:tc>
          <w:tcPr>
            <w:tcW w:w="109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400" w:type="dxa"/>
            <w:vAlign w:val="top"/>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可以多病人、多处方集中添加非机储药品，可根据处方信息在外摆药槽中提前准备需要添加的非机储药品，能够提高分包工作效率;</w:t>
            </w:r>
          </w:p>
        </w:tc>
        <w:tc>
          <w:tcPr>
            <w:tcW w:w="109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400" w:type="dxa"/>
            <w:vAlign w:val="top"/>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包药纸采用可降解环保材料，印字面需覆膜，包装好的药袋在保证韧性的同时不用剪口即可撕开；干净卫生，防止异物落入，避免包药过程中异物对药物的污染;</w:t>
            </w:r>
          </w:p>
        </w:tc>
        <w:tc>
          <w:tcPr>
            <w:tcW w:w="109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400" w:type="dxa"/>
            <w:vAlign w:val="top"/>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药袋上打印内容包括患者病区、病房、患者姓名、患者ID、药品名称、数量、服用方法等，打印内容也可根据医院需求进行自由设定;</w:t>
            </w:r>
          </w:p>
        </w:tc>
        <w:tc>
          <w:tcPr>
            <w:tcW w:w="109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400" w:type="dxa"/>
            <w:vAlign w:val="top"/>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药袋包装尺寸有2种以上不同大小规格可自动调整，供医院灵活选择;</w:t>
            </w:r>
          </w:p>
        </w:tc>
        <w:tc>
          <w:tcPr>
            <w:tcW w:w="109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400" w:type="dxa"/>
            <w:vAlign w:val="top"/>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药袋打印系统：所见所得打印方式，使用图形打印技术,可在包装袋表面任意编辑打印内容。以简体中文在药袋上打印服药信息（包括：病区、病房、病床、患者ID、厂家等），可选择不同字体、图标及打印方向;</w:t>
            </w:r>
          </w:p>
        </w:tc>
        <w:tc>
          <w:tcPr>
            <w:tcW w:w="109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400" w:type="dxa"/>
            <w:vAlign w:val="top"/>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库存管理</w:t>
            </w:r>
          </w:p>
        </w:tc>
        <w:tc>
          <w:tcPr>
            <w:tcW w:w="109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400" w:type="dxa"/>
            <w:vAlign w:val="top"/>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自动药品数量清点，可在补药时统计补药数量，盘点时统计每个药盒药品存量。提供药品用量查询和库存报表;</w:t>
            </w:r>
          </w:p>
        </w:tc>
        <w:tc>
          <w:tcPr>
            <w:tcW w:w="109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400" w:type="dxa"/>
            <w:vAlign w:val="top"/>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摆药系统控制软件</w:t>
            </w:r>
          </w:p>
        </w:tc>
        <w:tc>
          <w:tcPr>
            <w:tcW w:w="109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400" w:type="dxa"/>
            <w:vAlign w:val="top"/>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药品种类、数量显示;</w:t>
            </w:r>
          </w:p>
        </w:tc>
        <w:tc>
          <w:tcPr>
            <w:tcW w:w="109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400" w:type="dxa"/>
            <w:vAlign w:val="top"/>
          </w:tcPr>
          <w:p>
            <w:pPr>
              <w:spacing w:line="320" w:lineRule="exac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药品实时盘点，药品消耗统计;</w:t>
            </w:r>
          </w:p>
        </w:tc>
        <w:tc>
          <w:tcPr>
            <w:tcW w:w="109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400" w:type="dxa"/>
            <w:vAlign w:val="top"/>
          </w:tcPr>
          <w:p>
            <w:pPr>
              <w:spacing w:line="320" w:lineRule="exact"/>
              <w:rPr>
                <w:rFonts w:hint="default" w:ascii="仿宋_GB2312" w:hAnsi="宋体" w:eastAsia="仿宋_GB2312" w:cs="宋体"/>
                <w:kern w:val="0"/>
                <w:sz w:val="24"/>
                <w:lang w:val="en-US" w:eastAsia="zh-CN"/>
              </w:rPr>
            </w:pPr>
            <w:r>
              <w:rPr>
                <w:rFonts w:hint="default" w:ascii="仿宋_GB2312" w:hAnsi="宋体" w:eastAsia="仿宋_GB2312" w:cs="宋体"/>
                <w:kern w:val="0"/>
                <w:sz w:val="24"/>
                <w:lang w:val="en-US" w:eastAsia="zh-CN"/>
              </w:rPr>
              <w:t>药品种类、存量、用量、批次等信息管理</w:t>
            </w:r>
            <w:r>
              <w:rPr>
                <w:rFonts w:hint="eastAsia" w:ascii="仿宋_GB2312" w:hAnsi="宋体" w:eastAsia="仿宋_GB2312" w:cs="宋体"/>
                <w:kern w:val="0"/>
                <w:sz w:val="24"/>
                <w:lang w:val="en-US" w:eastAsia="zh-CN"/>
              </w:rPr>
              <w:t>;</w:t>
            </w:r>
          </w:p>
        </w:tc>
        <w:tc>
          <w:tcPr>
            <w:tcW w:w="109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400" w:type="dxa"/>
            <w:vAlign w:val="top"/>
          </w:tcPr>
          <w:p>
            <w:pPr>
              <w:spacing w:line="320" w:lineRule="exact"/>
              <w:rPr>
                <w:rFonts w:hint="default" w:ascii="仿宋_GB2312" w:hAnsi="宋体" w:eastAsia="仿宋_GB2312" w:cs="宋体"/>
                <w:kern w:val="0"/>
                <w:sz w:val="24"/>
                <w:lang w:val="en-US" w:eastAsia="zh-CN"/>
              </w:rPr>
            </w:pPr>
            <w:r>
              <w:rPr>
                <w:rFonts w:hint="default" w:ascii="仿宋_GB2312" w:hAnsi="宋体" w:eastAsia="仿宋_GB2312" w:cs="宋体"/>
                <w:kern w:val="0"/>
                <w:sz w:val="24"/>
                <w:lang w:val="en-US" w:eastAsia="zh-CN"/>
              </w:rPr>
              <w:t>可设置最低药量预警值</w:t>
            </w:r>
            <w:r>
              <w:rPr>
                <w:rFonts w:hint="eastAsia" w:ascii="仿宋_GB2312" w:hAnsi="宋体" w:eastAsia="仿宋_GB2312" w:cs="宋体"/>
                <w:kern w:val="0"/>
                <w:sz w:val="24"/>
                <w:lang w:val="en-US" w:eastAsia="zh-CN"/>
              </w:rPr>
              <w:t>;</w:t>
            </w:r>
          </w:p>
        </w:tc>
        <w:tc>
          <w:tcPr>
            <w:tcW w:w="109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400" w:type="dxa"/>
            <w:vAlign w:val="top"/>
          </w:tcPr>
          <w:p>
            <w:pPr>
              <w:spacing w:line="320" w:lineRule="exact"/>
              <w:rPr>
                <w:rFonts w:hint="default" w:ascii="仿宋_GB2312" w:hAnsi="宋体" w:eastAsia="仿宋_GB2312" w:cs="宋体"/>
                <w:kern w:val="0"/>
                <w:sz w:val="24"/>
                <w:lang w:val="en-US" w:eastAsia="zh-CN"/>
              </w:rPr>
            </w:pPr>
            <w:r>
              <w:rPr>
                <w:rFonts w:hint="default" w:ascii="仿宋_GB2312" w:hAnsi="宋体" w:eastAsia="仿宋_GB2312" w:cs="宋体"/>
                <w:kern w:val="0"/>
                <w:sz w:val="24"/>
                <w:lang w:val="en-US" w:eastAsia="zh-CN"/>
              </w:rPr>
              <w:t>开机自检功能</w:t>
            </w:r>
            <w:r>
              <w:rPr>
                <w:rFonts w:hint="eastAsia" w:ascii="仿宋_GB2312" w:hAnsi="宋体" w:eastAsia="仿宋_GB2312" w:cs="宋体"/>
                <w:kern w:val="0"/>
                <w:sz w:val="24"/>
                <w:lang w:val="en-US" w:eastAsia="zh-CN"/>
              </w:rPr>
              <w:t>;</w:t>
            </w:r>
          </w:p>
        </w:tc>
        <w:tc>
          <w:tcPr>
            <w:tcW w:w="109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400" w:type="dxa"/>
            <w:vAlign w:val="top"/>
          </w:tcPr>
          <w:p>
            <w:pPr>
              <w:spacing w:line="320" w:lineRule="exact"/>
              <w:rPr>
                <w:rFonts w:hint="default" w:ascii="仿宋_GB2312" w:hAnsi="宋体" w:eastAsia="仿宋_GB2312" w:cs="宋体"/>
                <w:kern w:val="0"/>
                <w:sz w:val="24"/>
                <w:lang w:val="en-US" w:eastAsia="zh-CN"/>
              </w:rPr>
            </w:pPr>
            <w:r>
              <w:rPr>
                <w:rFonts w:hint="default" w:ascii="仿宋_GB2312" w:hAnsi="宋体" w:eastAsia="仿宋_GB2312" w:cs="宋体"/>
                <w:kern w:val="0"/>
                <w:sz w:val="24"/>
                <w:lang w:val="en-US" w:eastAsia="zh-CN"/>
              </w:rPr>
              <w:t>包装纸少纸报警提示及色带缺少报警提示</w:t>
            </w:r>
            <w:r>
              <w:rPr>
                <w:rFonts w:hint="eastAsia" w:ascii="仿宋_GB2312" w:hAnsi="宋体" w:eastAsia="仿宋_GB2312" w:cs="宋体"/>
                <w:kern w:val="0"/>
                <w:sz w:val="24"/>
                <w:lang w:val="en-US" w:eastAsia="zh-CN"/>
              </w:rPr>
              <w:t>;</w:t>
            </w:r>
          </w:p>
        </w:tc>
        <w:tc>
          <w:tcPr>
            <w:tcW w:w="109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400" w:type="dxa"/>
            <w:vAlign w:val="top"/>
          </w:tcPr>
          <w:p>
            <w:pPr>
              <w:spacing w:line="320" w:lineRule="exact"/>
              <w:rPr>
                <w:rFonts w:hint="default" w:ascii="仿宋_GB2312" w:hAnsi="宋体" w:eastAsia="仿宋_GB2312" w:cs="宋体"/>
                <w:kern w:val="0"/>
                <w:sz w:val="24"/>
                <w:lang w:val="en-US" w:eastAsia="zh-CN"/>
              </w:rPr>
            </w:pPr>
            <w:r>
              <w:rPr>
                <w:rFonts w:hint="default" w:ascii="仿宋_GB2312" w:hAnsi="宋体" w:eastAsia="仿宋_GB2312" w:cs="宋体"/>
                <w:kern w:val="0"/>
                <w:sz w:val="24"/>
                <w:lang w:val="en-US" w:eastAsia="zh-CN"/>
              </w:rPr>
              <w:t>药盒缺药报警提示</w:t>
            </w:r>
            <w:r>
              <w:rPr>
                <w:rFonts w:hint="eastAsia" w:ascii="仿宋_GB2312" w:hAnsi="宋体" w:eastAsia="仿宋_GB2312" w:cs="宋体"/>
                <w:kern w:val="0"/>
                <w:sz w:val="24"/>
                <w:lang w:val="en-US" w:eastAsia="zh-CN"/>
              </w:rPr>
              <w:t>;</w:t>
            </w:r>
          </w:p>
        </w:tc>
        <w:tc>
          <w:tcPr>
            <w:tcW w:w="109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400" w:type="dxa"/>
            <w:vAlign w:val="top"/>
          </w:tcPr>
          <w:p>
            <w:pPr>
              <w:spacing w:line="320" w:lineRule="exact"/>
              <w:rPr>
                <w:rFonts w:hint="default" w:ascii="仿宋_GB2312" w:hAnsi="宋体" w:eastAsia="仿宋_GB2312" w:cs="宋体"/>
                <w:kern w:val="0"/>
                <w:sz w:val="24"/>
                <w:lang w:val="en-US" w:eastAsia="zh-CN"/>
              </w:rPr>
            </w:pPr>
            <w:r>
              <w:rPr>
                <w:rFonts w:hint="default" w:ascii="仿宋_GB2312" w:hAnsi="宋体" w:eastAsia="仿宋_GB2312" w:cs="宋体"/>
                <w:kern w:val="0"/>
                <w:sz w:val="24"/>
                <w:lang w:val="en-US" w:eastAsia="zh-CN"/>
              </w:rPr>
              <w:t>具有单品种片剂或胶囊分包的功能，分包药品信息进行自动登记、记忆分配，打印信息可编辑，并具有拆零分包统计功能</w:t>
            </w:r>
            <w:r>
              <w:rPr>
                <w:rFonts w:hint="eastAsia" w:ascii="仿宋_GB2312" w:hAnsi="宋体" w:eastAsia="仿宋_GB2312" w:cs="宋体"/>
                <w:kern w:val="0"/>
                <w:sz w:val="24"/>
                <w:lang w:val="en-US" w:eastAsia="zh-CN"/>
              </w:rPr>
              <w:t>;</w:t>
            </w:r>
          </w:p>
        </w:tc>
        <w:tc>
          <w:tcPr>
            <w:tcW w:w="109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400" w:type="dxa"/>
            <w:vAlign w:val="top"/>
          </w:tcPr>
          <w:p>
            <w:pPr>
              <w:spacing w:line="320" w:lineRule="exact"/>
              <w:rPr>
                <w:rFonts w:hint="default" w:ascii="仿宋_GB2312" w:hAnsi="宋体" w:eastAsia="仿宋_GB2312" w:cs="宋体"/>
                <w:kern w:val="0"/>
                <w:sz w:val="24"/>
                <w:lang w:val="en-US" w:eastAsia="zh-CN"/>
              </w:rPr>
            </w:pPr>
            <w:r>
              <w:rPr>
                <w:rFonts w:hint="default" w:ascii="仿宋_GB2312" w:hAnsi="宋体" w:eastAsia="仿宋_GB2312" w:cs="宋体"/>
                <w:kern w:val="0"/>
                <w:sz w:val="24"/>
                <w:lang w:val="en-US" w:eastAsia="zh-CN"/>
              </w:rPr>
              <w:t>医嘱信息、患者信息、药品信息等可永久保存于数据库，便于日后查询</w:t>
            </w:r>
            <w:r>
              <w:rPr>
                <w:rFonts w:hint="eastAsia" w:ascii="仿宋_GB2312" w:hAnsi="宋体" w:eastAsia="仿宋_GB2312" w:cs="宋体"/>
                <w:kern w:val="0"/>
                <w:sz w:val="24"/>
                <w:lang w:val="en-US" w:eastAsia="zh-CN"/>
              </w:rPr>
              <w:t>;</w:t>
            </w:r>
          </w:p>
        </w:tc>
        <w:tc>
          <w:tcPr>
            <w:tcW w:w="109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400" w:type="dxa"/>
            <w:vAlign w:val="top"/>
          </w:tcPr>
          <w:p>
            <w:pPr>
              <w:spacing w:line="320" w:lineRule="exact"/>
              <w:rPr>
                <w:rFonts w:ascii="仿宋" w:hAnsi="仿宋" w:eastAsia="仿宋"/>
                <w:b w:val="0"/>
                <w:bCs/>
                <w:szCs w:val="21"/>
              </w:rPr>
            </w:pPr>
            <w:r>
              <w:rPr>
                <w:rFonts w:hint="default" w:ascii="仿宋_GB2312" w:hAnsi="宋体" w:eastAsia="仿宋_GB2312" w:cs="宋体"/>
                <w:kern w:val="0"/>
                <w:sz w:val="24"/>
                <w:lang w:val="en-US" w:eastAsia="zh-CN"/>
              </w:rPr>
              <w:t>售后服务要求：整机免费保修三年（含所有零部件，包括须定期更换零部件）</w:t>
            </w:r>
          </w:p>
        </w:tc>
        <w:tc>
          <w:tcPr>
            <w:tcW w:w="109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400" w:type="dxa"/>
            <w:vAlign w:val="top"/>
          </w:tcPr>
          <w:p>
            <w:pPr>
              <w:spacing w:line="320" w:lineRule="exact"/>
              <w:rPr>
                <w:rFonts w:ascii="仿宋" w:hAnsi="仿宋" w:eastAsia="仿宋"/>
                <w:b w:val="0"/>
                <w:bCs/>
                <w:szCs w:val="21"/>
              </w:rPr>
            </w:pPr>
            <w:r>
              <w:rPr>
                <w:rFonts w:hint="default" w:ascii="仿宋_GB2312" w:hAnsi="宋体" w:eastAsia="仿宋_GB2312" w:cs="宋体"/>
                <w:kern w:val="0"/>
                <w:sz w:val="24"/>
                <w:lang w:val="en-US" w:eastAsia="zh-CN"/>
              </w:rPr>
              <w:t>提供近3年内同机型设备国内医院用户合同</w:t>
            </w:r>
            <w:r>
              <w:rPr>
                <w:rFonts w:hint="eastAsia" w:ascii="仿宋_GB2312" w:hAnsi="宋体" w:eastAsia="仿宋_GB2312" w:cs="宋体"/>
                <w:kern w:val="0"/>
                <w:sz w:val="24"/>
                <w:lang w:val="en-US" w:eastAsia="zh-CN"/>
              </w:rPr>
              <w:t>1</w:t>
            </w:r>
            <w:r>
              <w:rPr>
                <w:rFonts w:hint="default" w:ascii="仿宋_GB2312" w:hAnsi="宋体" w:eastAsia="仿宋_GB2312" w:cs="宋体"/>
                <w:kern w:val="0"/>
                <w:sz w:val="24"/>
                <w:lang w:val="en-US" w:eastAsia="zh-CN"/>
              </w:rPr>
              <w:t>家及以上，标书内提供清晰的合同原件扫描件并加盖公章（遮盖认定为无效业绩）</w:t>
            </w:r>
          </w:p>
        </w:tc>
        <w:tc>
          <w:tcPr>
            <w:tcW w:w="109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9"/>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8"/>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8"/>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8"/>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8"/>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75FEA8"/>
    <w:multiLevelType w:val="singleLevel"/>
    <w:tmpl w:val="BC75FEA8"/>
    <w:lvl w:ilvl="0" w:tentative="0">
      <w:start w:val="1"/>
      <w:numFmt w:val="decimal"/>
      <w:lvlText w:val="%1."/>
      <w:lvlJc w:val="left"/>
      <w:pPr>
        <w:ind w:left="425" w:hanging="425"/>
      </w:pPr>
      <w:rPr>
        <w:rFonts w:hint="default"/>
      </w:rPr>
    </w:lvl>
  </w:abstractNum>
  <w:abstractNum w:abstractNumId="1">
    <w:nsid w:val="00000009"/>
    <w:multiLevelType w:val="multilevel"/>
    <w:tmpl w:val="00000009"/>
    <w:lvl w:ilvl="0" w:tentative="0">
      <w:start w:val="9"/>
      <w:numFmt w:val="decimal"/>
      <w:pStyle w:val="13"/>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1B7300"/>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D7DDE"/>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1">
    <w:name w:val="页眉 Char"/>
    <w:basedOn w:val="10"/>
    <w:link w:val="7"/>
    <w:semiHidden/>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4">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1151</Words>
  <Characters>1183</Characters>
  <Lines>6</Lines>
  <Paragraphs>1</Paragraphs>
  <TotalTime>1</TotalTime>
  <ScaleCrop>false</ScaleCrop>
  <LinksUpToDate>false</LinksUpToDate>
  <CharactersWithSpaces>1386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2023-02-24T02:41:04Z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171ECFA2A76640439197A7D2DE49D242</vt:lpwstr>
  </property>
  <property fmtid="{D5CDD505-2E9C-101B-9397-08002B2CF9AE}" pid="4" name="commondata">
    <vt:lpwstr>eyJoZGlkIjoiNzljOTE0MDRlMmUyY2M3ZGQ4Nzk0OWRiOWI1OGE3ZmYifQ==</vt:lpwstr>
  </property>
</Properties>
</file>