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自动发药机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5"/>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7"/>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4"/>
        <w:gridCol w:w="716"/>
        <w:gridCol w:w="3450"/>
        <w:gridCol w:w="1005"/>
        <w:gridCol w:w="675"/>
        <w:gridCol w:w="1605"/>
        <w:gridCol w:w="15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7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60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53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1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45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75" w:type="dxa"/>
            <w:vMerge w:val="continue"/>
          </w:tcPr>
          <w:p>
            <w:pPr>
              <w:spacing w:line="320" w:lineRule="exact"/>
              <w:rPr>
                <w:rFonts w:ascii="仿宋" w:hAnsi="仿宋" w:eastAsia="仿宋"/>
                <w:b w:val="0"/>
                <w:bCs/>
                <w:szCs w:val="21"/>
              </w:rPr>
            </w:pPr>
          </w:p>
        </w:tc>
        <w:tc>
          <w:tcPr>
            <w:tcW w:w="1605" w:type="dxa"/>
            <w:vMerge w:val="continue"/>
          </w:tcPr>
          <w:p>
            <w:pPr>
              <w:spacing w:line="320" w:lineRule="exact"/>
              <w:rPr>
                <w:rFonts w:ascii="仿宋" w:hAnsi="仿宋" w:eastAsia="仿宋"/>
                <w:b w:val="0"/>
                <w:bCs/>
                <w:szCs w:val="21"/>
              </w:rPr>
            </w:pPr>
          </w:p>
        </w:tc>
        <w:tc>
          <w:tcPr>
            <w:tcW w:w="153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自动化发药机主机技术参数</w:t>
            </w: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全自动发药机，单台全自动发药主机最大储药能力：3000盒/米（注：按药品外包装规格100*60*20mm均值计算，机器高度3.5-4米），机械手两侧均为存储平板玻璃药架单元。</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自动发药系统同时自动处理盒装和瓶装药品，整套系统能同时存放（安剖瓶、特殊管控药品除外）＞80%门诊药品品规，自动发药系统可存储药品品规≥1500品种。</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主机配置半自动加药系统，可根据药品尺寸自动以视觉投影方式提示药师加药，每次可将多排药品同时加入设备。（需提供实物操作视频作为证明材料）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全自动发药系统处理处方速度≥300处方每小时/每台主机,配备嵌入式高速发药系统后处理处方速度300~720处方每小时（注：按药品外包装规格100*60*20mm均值计算）；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应用全新技术，在药品全自动加药过程中，通过各种药盒姿态的动作调整、视觉识别等技术应用，精准识别药品的批号效期。（需提供实物操作视频及书面承诺）</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设备药品的上药、发药均采用智能机械手抓取技术，非固定槽位重力式落药方式。</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发药机械手应采用直线运动，可双向伸缩抓取药品，无需转换方向旋转180度抓药以保障足够的发药效率。（需提供实物运行视频作为证明材料）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机械手运动速度≥5米／秒。</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发药机外观可采用全透明设计，发药机的运行状态一目了然，设备可根据用户场地情况设计L、U型，主机外观采用全透明玻璃等透光性强材质，不影响机器对药品的识别。（需提供发药机结构原理图示作为证明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机械手应用直线运动控制技术，采用无拖链装置，机械手日常保养无易损耗件成本。</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自动发药机机械手通信技术为无线通信技术，避免能源传输浪费。</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CA" w:eastAsia="zh-CN"/>
              </w:rPr>
            </w:pPr>
            <w:r>
              <w:rPr>
                <w:rFonts w:hint="eastAsia" w:ascii="仿宋_GB2312" w:hAnsi="宋体" w:eastAsia="仿宋_GB2312" w:cs="宋体"/>
                <w:kern w:val="0"/>
                <w:sz w:val="24"/>
                <w:lang w:val="en-US" w:eastAsia="zh-CN"/>
              </w:rPr>
              <w:t>机械手最大抓取尺寸：</w:t>
            </w:r>
            <w:r>
              <w:rPr>
                <w:rFonts w:hint="eastAsia" w:ascii="仿宋_GB2312" w:hAnsi="宋体" w:eastAsia="仿宋_GB2312" w:cs="宋体"/>
                <w:kern w:val="0"/>
                <w:sz w:val="24"/>
                <w:lang w:val="en-CA" w:eastAsia="zh-CN"/>
              </w:rPr>
              <w:t>160mm x100mm x280mm。</w:t>
            </w:r>
          </w:p>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机械手最小抓取尺寸：</w:t>
            </w:r>
            <w:r>
              <w:rPr>
                <w:rFonts w:hint="eastAsia" w:ascii="仿宋_GB2312" w:hAnsi="宋体" w:eastAsia="仿宋_GB2312" w:cs="宋体"/>
                <w:kern w:val="0"/>
                <w:sz w:val="24"/>
                <w:lang w:val="en-CA" w:eastAsia="zh-CN"/>
              </w:rPr>
              <w:t>12</w:t>
            </w:r>
            <w:r>
              <w:rPr>
                <w:rFonts w:hint="eastAsia" w:ascii="仿宋_GB2312" w:hAnsi="宋体" w:eastAsia="仿宋_GB2312" w:cs="宋体"/>
                <w:kern w:val="0"/>
                <w:sz w:val="24"/>
                <w:lang w:val="en-US" w:eastAsia="zh-CN"/>
              </w:rPr>
              <w:t>mm</w:t>
            </w:r>
            <w:r>
              <w:rPr>
                <w:rFonts w:hint="eastAsia" w:ascii="仿宋_GB2312" w:hAnsi="宋体" w:eastAsia="仿宋_GB2312" w:cs="宋体"/>
                <w:kern w:val="0"/>
                <w:sz w:val="24"/>
                <w:lang w:val="en-CA" w:eastAsia="zh-CN"/>
              </w:rPr>
              <w:t>x10mmx40mm。</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机械手最小抓取重量：5g。机械手最大抓取重量：1.2kg。机械手最大承载重量：2.5kg.</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机械手自带的药品缓存平台长度≥680mm、以保证单次抓取药品的数量可≥8盒。（药盒尺寸：85mm*60mm*20mm，需提供实际测量尺寸图片作为证明材料）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机械手抓取复杂位置5种药品耗时： 28秒。</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系统能做到智能的发药顺序规则整理，近效期先发或者先进先发，过效期药品可锁定不予发放。</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主机设备对处方药品的发放差错（包括错发、多发、少发）率为0。</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HIS系统出现故障，药师可按处方信息从设备点选相应药品及数量，设备仍能按指定窗口自动发药。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可在主机指定区域安装多个出药口或配套传送装置，支持螺旋空轨、爬坡地轨、设备开孔等多种出药通道及传输装置。（需提供各出药方式的实物图片作为佐证材料）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只要输入指令，无需人工干预，设备能对所指定任一批次、效期的任一药品实现自动出库，且不影响其他药品的库存，以便进行药品质量的抽查。</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设备对所发出的药品具备充分的保护装置（或结构），避免发药过程对药品外包装所造成的损坏风险。</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设备应具备一定的拓展性能，若后期需要拓展机械手数量，单台主机内单轨道上的机械手数量≥2个且可后期增加。（需提供实物图片作为证明材料）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整体设备综合补药速度≥1600包装/小时/台主机。</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具有药品条形码（或医院药品管理ID码、二维码）自动识别系统；能根据二维码信息有效实施对每个单包装药品的效期管理、追踪管理。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无需人工确认、核对药品的外包装信息，设备自备有效的进药自检手段，自动拒绝信息错误药品的进入，以保证进药的准确性。</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无需通过人工预先设置，药品储存位置自动灵活。</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无需采用人工测量药样方式，而是由设备自动测量、记录药品包装的规格信息并自动识别；即使包装调整或药品更新，设备也能重新测量、记录、识别药品，同时能依据新包装规格信息实现自由、自动的存放，整个过程无需人工重新设置、调整药品的存放装置。</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可以直接通过点击管理查询药物的库存和保质期，新进药品可自动测量尺寸录入系统并分配储位。</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无人值守全自动上药系统，除发药机自带的进药系统外，以实现又一种更加自由的补药方式。全自动补药系统应具备以下功能： </w:t>
            </w:r>
          </w:p>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（1）全自动上药模块采用内置双轨道可循环装置，使加药工作顺畅，不会因为无法识别药品而暂停进药工作。</w:t>
            </w:r>
          </w:p>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全自动上药模块采用高清视觉系统，不仅限于条形码读取，可通过3D视觉图像识别技术，识别无条码药盒并精准上药，3D视觉相机数量≥6个，保证药品可同时进行多方位识别，提高准确率。（需提供实物图片作为证明材料）</w:t>
            </w:r>
          </w:p>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（3）具备双层进药缓存药槽增加药品缓存数量，可一次性任意杂乱倒入药品≥2000盒，且无品规数的限制，通过双加药机械手（非主机模块机械手）加药速度不低于400盒/小时（需保证足够的进药数量）。</w:t>
            </w:r>
          </w:p>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（4）在无人工任何干预下，自动抓取药品、自动扫描每盒药品条码信息或文字信息、自动分拣并入库。</w:t>
            </w:r>
          </w:p>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（5）具备自动识别、自动检测药品信息，并能将信息错误的药品实施自动退药。具备应急入药口，保证应急用药的全自动入库。</w:t>
            </w:r>
          </w:p>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（6）实现无人值守的全自动连续补药工作，整个补药过程无需人工配合、等待。</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实时监测设备内药品信息，包括每个单包装药品的批次批号、效期、已发放药品信息、待发药品信息等。</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具有设备故障远程追踪和预警系统，能随时监控设备运行情况.s</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一键式退货功能：药师可一次性输入需要退出设备的所有（单品种或多品种）药品信息（某品规、某批次），无需人工干预，设备会自动识别药品存放的任意位置，并自动、准确地对特定药品实施一次性退药工作。</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具备全程信息记录，具备数据自动安全备份和手动复原功能。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维修时间、机械手更换，仅需10-20分钟。</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设备可根据场地空间利用最佳，实现灵活的尺寸定制。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设备主体外板采用环保材质，制造工艺精湛、美观；且运行稳定、可靠，保证95%日历日无故障运行。</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节能环保：双机械手发药机空载功率≤650W，工作噪音≤50db。（需提供地市级或以上检测机构出具的相关检测报告复印件）。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主机系统采用摩擦力极小的精密部件、低荷重的机械手单元、KERS管理系统等多项应用降低了高峰期和平峰期的能源消耗。安装设备无需专门改造药房电源。</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安全性：所有运动部件均包裹在内部，如有无意开启设备侧门，设备会立刻自动停止运行。</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设备内部提供设备补药、处方发行等各工作环节的全视频监控核对。（提供实际监控视频片段作为证明材料）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嵌入式高速发药系统技术参数</w:t>
            </w: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高速发药模组存储≥24个品规／台主机，每个品规具有独立控制电机，同时根据每种药品日发放量的高、低不同，保证所有品种在设备内的合理存量。</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药品存储位数≥24，品种数≥24种，模块化配置，后期可灵活增加发药模块。</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药品单通道宽度≥75MM，单通道最大载质量≤10kg。</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单通道出药速度≥3盒/秒，单处方速度≤3秒/张。</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存储量≥1900盒/台（10mm厚度药盒），出药时所有通道可同时进行出药。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加药方式为整体叠加存放，加药速度≥10000盒/小时/人。</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安全装置：急停按扭，缺药报警，电机过热、过流、过载、自动故障显示、定位。</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主机发药机和嵌入式发药机需在同一轨道汇合同时出药（需提供实物图片及详细文字说明）。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每个发药槽道具有独立的检查计数传感装置，能够实时自动盘点库存。</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每个发药槽道具有独立的控制电机，保证设备稳定性，避免一个电机故障多个通道失效风险。（需提供设备视频及文字说明）。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智能药框技术参数</w:t>
            </w: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智能药框与系统无线连接，自动接收系统信息，显示药框所在位置，并且提示药师取药。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配置独立LED光源及其控制单元≥2个，其中一个光源损坏，不影响另一个光源使用。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智能药框经传输后可以随意摆放，不受固定位置的限制，无需使用药架。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自动发筐机技术参数</w:t>
            </w: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基本要求：自动发框系统能够自动打印配药清单、绑定智能药框及药师信息。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出框速度3秒/框。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具备自动打印、自动绑定、自动出框、报表管理等功能。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采用新型高清视觉识别技术，自动识别智能药框编号。避免配套智能药框因芯片寿命或损坏造成不必要的损失。</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医院HIS实现无缝隙连接, 系统接收处方信息后，自动将对应药框运送至药师面前，同时绑定该药师信息。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操作方式：联机自动、机械手动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安全防护：具备开机自检功能/急停保护/取药口光幕保护/电机过热、过流、过载保护</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电控系统采取模块化设计，可以整体拆卸，便于维护。</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系统运行噪音≤65db</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配置智能药框需带自动寻址功能，配置独立LED光源及其控制单元≥2个，其中一个光源损坏，不影响另一个光源使用。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智能药框应具备可识别编号文字，尽量减少识别芯片的使用，以降低故障风险及成本，提高使用寿命。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整处方传输系统技术参数</w:t>
            </w: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基本要求：整处方传输系统需根据医院场地进行定制，因地制宜将药框合理传输至指定窗口。</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前台缓存柜数量≥3个，每个缓存柜最大可缓存药框≥15个。</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缓存柜宽度≥400mm，传输皮带宽度≥345mm以便合理传输药框。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药框传输速度≥0.4m/s。</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最大处方处理速度≥900处方/小时，可连续放框。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采用新型高清视觉识别技术，自动识别智能药框编号。避免配套智能药框因芯片寿命或损坏造成不必要的损失。</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医院HIS实现无缝隙连接, 系统接收处方信息后，自动将药品送至药师面前，并提示所在位置。</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操作方式：联机自动。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安全防护：具备开机自检功能/急停保护/取药口光幕保护/电机过热、过流、过载保护。</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电控系统采取模块化设计，可以整体拆卸，便于维护。</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系统运行噪音≤65db。</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排队取号系统技术参数</w:t>
            </w: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整机体积：</w:t>
            </w:r>
            <w:r>
              <w:rPr>
                <w:rFonts w:hint="eastAsia" w:ascii="仿宋_GB2312" w:hAnsi="宋体" w:eastAsia="仿宋_GB2312" w:cs="宋体"/>
                <w:kern w:val="0"/>
                <w:sz w:val="24"/>
                <w:lang w:val="pt-BR" w:eastAsia="zh-CN"/>
              </w:rPr>
              <w:t xml:space="preserve">≤60cm W x 20 cm D x 170cm H。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整机重量：整机净重≤40Kg。</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最大取号次数：≥900次/小时。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标签纸存储：</w:t>
            </w:r>
            <w:r>
              <w:rPr>
                <w:rFonts w:hint="eastAsia" w:ascii="仿宋_GB2312" w:hAnsi="宋体" w:eastAsia="仿宋_GB2312" w:cs="宋体"/>
                <w:kern w:val="0"/>
                <w:sz w:val="24"/>
                <w:lang w:val="zh-TW" w:eastAsia="zh-TW"/>
              </w:rPr>
              <w:t>热敏打印机(80mm),带卡纸、缺纸提醒功能</w:t>
            </w:r>
            <w:r>
              <w:rPr>
                <w:rFonts w:hint="eastAsia" w:ascii="仿宋_GB2312" w:hAnsi="宋体" w:eastAsia="仿宋_GB2312" w:cs="宋体"/>
                <w:kern w:val="0"/>
                <w:sz w:val="24"/>
                <w:lang w:val="zh-TW" w:eastAsia="zh-CN"/>
              </w:rPr>
              <w:t>。</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打印模式：实时打印。</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打印速度：170mm/秒。</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医院数据库联接：支持HIS交互，可与药房管理系统连接   实时/延时通信功能。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自助功能：</w:t>
            </w:r>
            <w:r>
              <w:rPr>
                <w:rFonts w:hint="eastAsia" w:ascii="仿宋_GB2312" w:hAnsi="宋体" w:eastAsia="仿宋_GB2312" w:cs="宋体"/>
                <w:kern w:val="0"/>
                <w:sz w:val="24"/>
                <w:lang w:val="zh-TW" w:eastAsia="zh-TW"/>
              </w:rPr>
              <w:t>具备患者自助登记的功能，可根据医院需求进行定做,提供医院所需的凭证进行登记的功能</w:t>
            </w:r>
            <w:r>
              <w:rPr>
                <w:rFonts w:hint="eastAsia" w:ascii="仿宋_GB2312" w:hAnsi="宋体" w:eastAsia="仿宋_GB2312" w:cs="宋体"/>
                <w:kern w:val="0"/>
                <w:sz w:val="24"/>
                <w:lang w:val="zh-TW" w:eastAsia="zh-CN"/>
              </w:rPr>
              <w:t>。</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操作界面：一体化触屏主界面。</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优先规则：具备急诊优先功能,老人优先功能,可根据需要设置优先级别以及优先规则。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VIP优先功能：VIP叫号/无需叫号。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具有语音叫号软件：支持中英文、数字的语音自动合成,叫号信息内容可灵活变更、设定;合成语音没有明显的合成听觉感受,达到正常人说话的效果。</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错误提示功能：报错，错误信息，排障指示。</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毒麻管理系统技术参数</w:t>
            </w: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主柜尺寸要求：长度1120mm（±10mm）*宽度550mm（±10mm）*高度1800mm（±10 mm）。（要求提供完整的实物测量照片证明）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钢结构主体，全方位安全锁控，符合国家、医院药事管理规范化的要求。</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颜色以白色、浅灰色或蓝色为主，外观坚固、耐老化、耐褪色、抗酸碱腐蚀。</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支持账号密码、指纹识别等验证登录方式。</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管理控制柜要求一体化集成触控显示屏≥15英寸、指纹识别仪、读卡器。（要求提供完整的实物照片证明，要求以上模块需嵌入集成于主柜内）</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为提高补药效率，设备可同时开启多个抽屉同时取药或加药。（要求提供实物操作视频证明）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储药单元≥28个，分大中小三种储药单元，储药单元可隔断。大单元体积≥0.028m3，小单元体积≥0.008 m3，中单元体积≥0.019 m3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自动出药药盒支持按处方出药，支持多个出药口同时出药，出药后可直接在出药口完成取药操作。</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配备≥7 层智能储药抽屉模块，可对针剂、片剂、贴剂、异形等药品进行智能管理，支持数量管理。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配备内嵌式独立机械锁，支持双人双锁登陆。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7×24小时全天候进行药物的安全管理，智能锁控与权限管理，具备效期预警、自动盘点及报表检索统计等。</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可与HIS系统进行无缝对接，实现用药数据的同步互传。</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高效监控药品的流向，并实时记录操作日志、盘点品库存，导出相应电子报表，支持统计汇总及打印报表功能。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支持用户PC端远程开具麻醉药品专用电子处方。</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hint="default" w:ascii="仿宋_GB2312" w:hAnsi="宋体" w:eastAsia="仿宋_GB2312" w:cs="宋体"/>
                <w:kern w:val="0"/>
                <w:sz w:val="24"/>
                <w:lang w:val="en-US" w:eastAsia="zh-CN"/>
              </w:rPr>
            </w:pPr>
          </w:p>
        </w:tc>
        <w:tc>
          <w:tcPr>
            <w:tcW w:w="3450" w:type="dxa"/>
            <w:vAlign w:val="center"/>
          </w:tcPr>
          <w:p>
            <w:pPr>
              <w:spacing w:line="32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具备预警报警功能：（1）无使用权限人员强行操作时立即报警；（2）药品存储数量低于设定值时提前预警；（3）药品接近有效期时提前预警；（4）系统出错报警。</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ascii="仿宋" w:hAnsi="仿宋" w:eastAsia="仿宋"/>
                <w:b w:val="0"/>
                <w:bCs/>
                <w:szCs w:val="21"/>
              </w:rPr>
            </w:pPr>
          </w:p>
        </w:tc>
        <w:tc>
          <w:tcPr>
            <w:tcW w:w="3450" w:type="dxa"/>
            <w:vAlign w:val="top"/>
          </w:tcPr>
          <w:p>
            <w:pPr>
              <w:spacing w:line="320" w:lineRule="exact"/>
              <w:rPr>
                <w:rFonts w:hint="eastAsia" w:ascii="宋体" w:hAnsi="宋体" w:cs="宋体"/>
                <w:sz w:val="24"/>
                <w:szCs w:val="24"/>
              </w:rPr>
            </w:pPr>
            <w:r>
              <w:rPr>
                <w:rFonts w:hint="default" w:ascii="仿宋_GB2312" w:hAnsi="宋体" w:eastAsia="仿宋_GB2312" w:cs="宋体"/>
                <w:kern w:val="0"/>
                <w:sz w:val="24"/>
                <w:lang w:val="en-US" w:eastAsia="zh-CN"/>
              </w:rPr>
              <w:t>售后服务要求：整机免费保修三年（含所有零部件，包括须定期更换零部件）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4" w:type="dxa"/>
          </w:tcPr>
          <w:p>
            <w:pPr>
              <w:numPr>
                <w:ilvl w:val="0"/>
                <w:numId w:val="2"/>
              </w:numPr>
              <w:spacing w:line="320" w:lineRule="exact"/>
              <w:ind w:left="425" w:leftChars="0" w:hanging="425" w:firstLineChars="0"/>
              <w:rPr>
                <w:rFonts w:ascii="仿宋" w:hAnsi="仿宋" w:eastAsia="仿宋"/>
                <w:b w:val="0"/>
                <w:bCs/>
                <w:szCs w:val="21"/>
              </w:rPr>
            </w:pPr>
          </w:p>
        </w:tc>
        <w:tc>
          <w:tcPr>
            <w:tcW w:w="716" w:type="dxa"/>
          </w:tcPr>
          <w:p>
            <w:pPr>
              <w:spacing w:line="320" w:lineRule="exact"/>
              <w:rPr>
                <w:rFonts w:ascii="仿宋" w:hAnsi="仿宋" w:eastAsia="仿宋"/>
                <w:b w:val="0"/>
                <w:bCs/>
                <w:szCs w:val="21"/>
              </w:rPr>
            </w:pPr>
          </w:p>
        </w:tc>
        <w:tc>
          <w:tcPr>
            <w:tcW w:w="3450" w:type="dxa"/>
            <w:vAlign w:val="top"/>
          </w:tcPr>
          <w:p>
            <w:pPr>
              <w:spacing w:line="320" w:lineRule="exact"/>
              <w:rPr>
                <w:rFonts w:hint="eastAsia" w:ascii="宋体" w:hAnsi="宋体" w:cs="宋体"/>
                <w:sz w:val="24"/>
                <w:szCs w:val="24"/>
              </w:rPr>
            </w:pPr>
            <w:r>
              <w:rPr>
                <w:rFonts w:hint="default" w:ascii="仿宋_GB2312" w:hAnsi="宋体" w:eastAsia="仿宋_GB2312" w:cs="宋体"/>
                <w:kern w:val="0"/>
                <w:sz w:val="24"/>
                <w:lang w:val="en-US" w:eastAsia="zh-CN"/>
              </w:rPr>
              <w:t>提供近3年内同机型设备国内医院用户合同</w:t>
            </w:r>
            <w:r>
              <w:rPr>
                <w:rFonts w:hint="eastAsia" w:ascii="仿宋_GB2312" w:hAnsi="宋体" w:eastAsia="仿宋_GB2312" w:cs="宋体"/>
                <w:kern w:val="0"/>
                <w:sz w:val="24"/>
                <w:lang w:val="en-US" w:eastAsia="zh-CN"/>
              </w:rPr>
              <w:t>1</w:t>
            </w:r>
            <w:r>
              <w:rPr>
                <w:rFonts w:hint="default" w:ascii="仿宋_GB2312" w:hAnsi="宋体" w:eastAsia="仿宋_GB2312" w:cs="宋体"/>
                <w:kern w:val="0"/>
                <w:sz w:val="24"/>
                <w:lang w:val="en-US" w:eastAsia="zh-CN"/>
              </w:rPr>
              <w:t>家及以上，标书内提供清晰的合同原件扫描件并加盖公章（遮盖认定为无效业绩）</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60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7"/>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5"/>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6"/>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60A5C"/>
    <w:multiLevelType w:val="singleLevel"/>
    <w:tmpl w:val="DBE60A5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17BD1"/>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99"/>
    <w:pPr>
      <w:ind w:firstLine="420" w:firstLineChars="100"/>
    </w:pPr>
    <w:rPr>
      <w:rFonts w:ascii="Times New Roman" w:hAnsi="Times New Roman"/>
      <w:kern w:val="0"/>
      <w:sz w:val="20"/>
      <w:szCs w:val="20"/>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style4"/>
    <w:basedOn w:val="1"/>
    <w:next w:val="10"/>
    <w:qFormat/>
    <w:uiPriority w:val="0"/>
    <w:pPr>
      <w:widowControl/>
      <w:spacing w:before="280" w:after="280"/>
    </w:pPr>
    <w:rPr>
      <w:rFonts w:ascii="宋体" w:hAnsi="Times New Roman" w:eastAsia="宋体" w:cs="Times New Roman"/>
      <w:sz w:val="18"/>
    </w:rPr>
  </w:style>
  <w:style w:type="paragraph" w:customStyle="1" w:styleId="10">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2023-02-24T02:40:29Z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A70421BF6B3A495F8B82689AC94E9722</vt:lpwstr>
  </property>
  <property fmtid="{D5CDD505-2E9C-101B-9397-08002B2CF9AE}" pid="4" name="commondata">
    <vt:lpwstr>eyJoZGlkIjoiNzljOTE0MDRlMmUyY2M3ZGQ4Nzk0OWRiOWI1OGE3ZmYifQ==</vt:lpwstr>
  </property>
</Properties>
</file>