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制剂室实验用品</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85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19"/>
        <w:gridCol w:w="2216"/>
        <w:gridCol w:w="2055"/>
        <w:gridCol w:w="825"/>
        <w:gridCol w:w="750"/>
        <w:gridCol w:w="945"/>
        <w:gridCol w:w="1155"/>
        <w:gridCol w:w="12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65" w:type="dxa"/>
            <w:gridSpan w:val="5"/>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945" w:type="dxa"/>
            <w:vMerge w:val="restart"/>
          </w:tcPr>
          <w:p>
            <w:pPr>
              <w:spacing w:line="320" w:lineRule="exact"/>
              <w:jc w:val="center"/>
              <w:rPr>
                <w:rFonts w:hint="eastAsia" w:ascii="仿宋" w:hAnsi="仿宋" w:eastAsiaTheme="minorEastAsia"/>
                <w:b w:val="0"/>
                <w:bCs/>
                <w:szCs w:val="21"/>
                <w:lang w:eastAsia="zh-CN"/>
              </w:rPr>
            </w:pPr>
            <w:r>
              <w:rPr>
                <w:rFonts w:hint="eastAsia" w:ascii="仿宋" w:hAnsi="仿宋" w:eastAsia="仿宋"/>
                <w:b w:val="0"/>
                <w:bCs/>
                <w:szCs w:val="21"/>
                <w:lang w:eastAsia="zh-CN"/>
              </w:rPr>
              <w:t>单价</w:t>
            </w:r>
          </w:p>
        </w:tc>
        <w:tc>
          <w:tcPr>
            <w:tcW w:w="115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总价</w:t>
            </w:r>
          </w:p>
        </w:tc>
        <w:tc>
          <w:tcPr>
            <w:tcW w:w="1288"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2216" w:type="dxa"/>
          </w:tcPr>
          <w:p>
            <w:pPr>
              <w:spacing w:line="320" w:lineRule="exact"/>
              <w:jc w:val="center"/>
              <w:rPr>
                <w:rFonts w:ascii="仿宋" w:hAnsi="仿宋" w:eastAsia="仿宋"/>
                <w:b w:val="0"/>
                <w:bCs/>
                <w:szCs w:val="21"/>
              </w:rPr>
            </w:pPr>
            <w:r>
              <w:rPr>
                <w:rFonts w:hint="eastAsia" w:ascii="仿宋" w:hAnsi="仿宋" w:eastAsia="仿宋"/>
                <w:b w:val="0"/>
                <w:bCs/>
                <w:szCs w:val="21"/>
                <w:lang w:eastAsia="zh-CN"/>
              </w:rPr>
              <w:t>耗材</w:t>
            </w:r>
            <w:r>
              <w:rPr>
                <w:rFonts w:hint="eastAsia" w:ascii="仿宋" w:hAnsi="仿宋" w:eastAsia="仿宋"/>
                <w:b w:val="0"/>
                <w:bCs/>
                <w:szCs w:val="21"/>
              </w:rPr>
              <w:t>名称</w:t>
            </w:r>
          </w:p>
        </w:tc>
        <w:tc>
          <w:tcPr>
            <w:tcW w:w="20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规格</w:t>
            </w:r>
          </w:p>
        </w:tc>
        <w:tc>
          <w:tcPr>
            <w:tcW w:w="825"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数量</w:t>
            </w:r>
          </w:p>
        </w:tc>
        <w:tc>
          <w:tcPr>
            <w:tcW w:w="750"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单位</w:t>
            </w:r>
          </w:p>
        </w:tc>
        <w:tc>
          <w:tcPr>
            <w:tcW w:w="945" w:type="dxa"/>
            <w:vMerge w:val="continue"/>
          </w:tcPr>
          <w:p>
            <w:pPr>
              <w:spacing w:line="320" w:lineRule="exact"/>
              <w:rPr>
                <w:rFonts w:ascii="仿宋" w:hAnsi="仿宋" w:eastAsia="仿宋"/>
                <w:b w:val="0"/>
                <w:bCs/>
                <w:szCs w:val="21"/>
              </w:rPr>
            </w:pPr>
          </w:p>
        </w:tc>
        <w:tc>
          <w:tcPr>
            <w:tcW w:w="1155" w:type="dxa"/>
            <w:vMerge w:val="continue"/>
          </w:tcPr>
          <w:p>
            <w:pPr>
              <w:spacing w:line="320" w:lineRule="exact"/>
              <w:rPr>
                <w:rFonts w:ascii="仿宋" w:hAnsi="仿宋" w:eastAsia="仿宋"/>
                <w:b w:val="0"/>
                <w:bCs/>
                <w:szCs w:val="21"/>
              </w:rPr>
            </w:pPr>
          </w:p>
        </w:tc>
        <w:tc>
          <w:tcPr>
            <w:tcW w:w="1288"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白色念珠菌菌种定量工作菌株</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 xml:space="preserve"> CMCC(F) 98001，四代，0.5-1.0*103cfu/颗</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枯草芽孢杆菌 定量工作菌株</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 xml:space="preserve"> CMCC(B) 63501，四代，0.5-1.0*103cfu/颗</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大肠埃希菌定量工作菌株</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CMCC(B) 44102，四代0.5-1.0*103cfu/颗</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乙型副伤寒沙门氏菌定量工作菌株</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CMCC(B)50094，四代 0.5-1.0*103cfu/颗</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琼脂培养基</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R2A</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蛋白胨</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胰酪大豆琼脂培养基</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沙氏葡萄糖琼脂培养基</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胰酪大豆液体培养基</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麦康凯液体培养基</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麦康凯琼脂培养基</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沙门菌增菌液体培养基</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RV</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木糖赖氨酸脱氧胆盐琼脂培养基3瓶（北京三药产）</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氯化钾</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分析纯</w:t>
            </w:r>
            <w:r>
              <w:rPr>
                <w:rFonts w:hint="default" w:ascii="仿宋" w:hAnsi="仿宋" w:eastAsia="仿宋"/>
                <w:b w:val="0"/>
                <w:bCs/>
                <w:szCs w:val="21"/>
                <w:lang w:val="en-US" w:eastAsia="zh-CN"/>
              </w:rPr>
              <w:t>/500g</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硝酸钾</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分析纯</w:t>
            </w:r>
            <w:r>
              <w:rPr>
                <w:rFonts w:hint="default" w:ascii="仿宋" w:hAnsi="仿宋" w:eastAsia="仿宋"/>
                <w:b w:val="0"/>
                <w:bCs/>
                <w:szCs w:val="21"/>
                <w:lang w:val="en-US" w:eastAsia="zh-CN"/>
              </w:rPr>
              <w:t>/500g</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亚硝酸纳</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分析纯</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碘化汞钾</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分析纯</w:t>
            </w:r>
            <w:r>
              <w:rPr>
                <w:rFonts w:hint="default" w:ascii="仿宋" w:hAnsi="仿宋" w:eastAsia="仿宋"/>
                <w:b w:val="0"/>
                <w:bCs/>
                <w:szCs w:val="21"/>
                <w:lang w:val="en-US" w:eastAsia="zh-CN"/>
              </w:rPr>
              <w:t>/100g</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氢氧化钾</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分析纯</w:t>
            </w:r>
            <w:r>
              <w:rPr>
                <w:rFonts w:hint="default" w:ascii="仿宋" w:hAnsi="仿宋" w:eastAsia="仿宋"/>
                <w:b w:val="0"/>
                <w:bCs/>
                <w:szCs w:val="21"/>
                <w:lang w:val="en-US" w:eastAsia="zh-CN"/>
              </w:rPr>
              <w:t>/500g</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高锰酸钾</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分析纯</w:t>
            </w:r>
            <w:r>
              <w:rPr>
                <w:rFonts w:hint="default" w:ascii="仿宋" w:hAnsi="仿宋" w:eastAsia="仿宋"/>
                <w:b w:val="0"/>
                <w:bCs/>
                <w:szCs w:val="21"/>
                <w:lang w:val="en-US" w:eastAsia="zh-CN"/>
              </w:rPr>
              <w:t>/500g</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标准铅溶液</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100ml</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过硫酸铵</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分析纯</w:t>
            </w:r>
            <w:r>
              <w:rPr>
                <w:rFonts w:hint="default" w:ascii="仿宋" w:hAnsi="仿宋" w:eastAsia="仿宋"/>
                <w:b w:val="0"/>
                <w:bCs/>
                <w:szCs w:val="21"/>
                <w:lang w:val="en-US" w:eastAsia="zh-CN"/>
              </w:rPr>
              <w:t>/500g</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硫氰酸铵</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分析纯</w:t>
            </w:r>
            <w:r>
              <w:rPr>
                <w:rFonts w:hint="default" w:ascii="仿宋" w:hAnsi="仿宋" w:eastAsia="仿宋"/>
                <w:b w:val="0"/>
                <w:bCs/>
                <w:szCs w:val="21"/>
                <w:lang w:val="en-US" w:eastAsia="zh-CN"/>
              </w:rPr>
              <w:t>/500g</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硫酸铁铵十二水化合物</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分析纯</w:t>
            </w:r>
            <w:r>
              <w:rPr>
                <w:rFonts w:hint="default" w:ascii="仿宋" w:hAnsi="仿宋" w:eastAsia="仿宋"/>
                <w:b w:val="0"/>
                <w:bCs/>
                <w:szCs w:val="21"/>
                <w:lang w:val="en-US" w:eastAsia="zh-CN"/>
              </w:rPr>
              <w:t>/500g</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无水碳酸钠</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对甲氧基苯甲醛</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碳酸氢钠</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分析纯</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色谱乙腈</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1箱/4L瓶</w:t>
            </w:r>
          </w:p>
        </w:tc>
        <w:tc>
          <w:tcPr>
            <w:tcW w:w="750" w:type="dxa"/>
            <w:vAlign w:val="center"/>
          </w:tcPr>
          <w:p>
            <w:pPr>
              <w:spacing w:line="320" w:lineRule="exact"/>
              <w:jc w:val="center"/>
              <w:rPr>
                <w:rFonts w:hint="eastAsia" w:ascii="仿宋" w:hAnsi="仿宋" w:eastAsia="仿宋"/>
                <w:b w:val="0"/>
                <w:bCs/>
                <w:szCs w:val="21"/>
                <w:lang w:val="en-US" w:eastAsia="zh-CN"/>
              </w:rPr>
            </w:pP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菊苣酸对照品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栀子苷对照品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10</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王不留行黄酮苷对照品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刺桐碱对照品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五味子醇甲对照品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五味子醇乙对照品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桂皮醛对照品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葛根素对照品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欧前胡素对照品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甘草酸单铵盐对照品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贝母素甲对照品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贝母素乙对照品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α</w:t>
            </w:r>
            <w:r>
              <w:rPr>
                <w:rFonts w:hint="eastAsia" w:ascii="仿宋" w:hAnsi="仿宋" w:eastAsia="仿宋"/>
                <w:b w:val="0"/>
                <w:bCs/>
                <w:szCs w:val="21"/>
                <w:lang w:val="en-US" w:eastAsia="zh-CN"/>
              </w:rPr>
              <w:t>香附酮对照品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升麻素苷对照品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5-O</w:t>
            </w:r>
            <w:r>
              <w:rPr>
                <w:rFonts w:hint="eastAsia" w:ascii="仿宋" w:hAnsi="仿宋" w:eastAsia="仿宋"/>
                <w:b w:val="0"/>
                <w:bCs/>
                <w:szCs w:val="21"/>
                <w:lang w:val="en-US" w:eastAsia="zh-CN"/>
              </w:rPr>
              <w:t>甲基维斯阿米醇苷对照品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丹酚酸B对照品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丹参酮IIA对照品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绿原酸对照品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5</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甘草苷对照品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甘草酸对照品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藁本内酯对照品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盐酸小檗碱对照品</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5</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当归对照药材</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川芎对照药材</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延胡索对照药材</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太子参对照药材</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防风对照药材</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黄柏对照药材</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桑白皮对照药材</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Agilent SB-C18</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4.6×250mm,5um</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根</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Agilent ZORBAX Eclipse XDB-C18</w:t>
            </w:r>
            <w:r>
              <w:rPr>
                <w:rFonts w:hint="eastAsia" w:ascii="仿宋" w:hAnsi="仿宋" w:eastAsia="仿宋"/>
                <w:b w:val="0"/>
                <w:bCs/>
                <w:szCs w:val="21"/>
                <w:lang w:val="en-US" w:eastAsia="zh-CN"/>
              </w:rPr>
              <w:t xml:space="preserve"> </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4.6×250mm,5um</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根</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Welch UItimate XB-C18</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4.6×250mm,5um</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根</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 xml:space="preserve">Agilent TC-C18 </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4.6×250mm,5um</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根</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 xml:space="preserve">Durashell C-18 </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4.6×150mm,5um</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根</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薄层色谱显色剂喷头</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5</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四孔调温水浴锅</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台</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小号三角玻璃棒</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10</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比重瓶</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50ml</w:t>
            </w:r>
            <w:r>
              <w:rPr>
                <w:rFonts w:hint="eastAsia" w:ascii="仿宋" w:hAnsi="仿宋" w:eastAsia="仿宋"/>
                <w:b w:val="0"/>
                <w:bCs/>
                <w:szCs w:val="21"/>
                <w:lang w:val="en-US" w:eastAsia="zh-CN"/>
              </w:rPr>
              <w:t>、</w:t>
            </w:r>
            <w:r>
              <w:rPr>
                <w:rFonts w:hint="default" w:ascii="仿宋" w:hAnsi="仿宋" w:eastAsia="仿宋"/>
                <w:b w:val="0"/>
                <w:bCs/>
                <w:szCs w:val="21"/>
                <w:lang w:val="en-US" w:eastAsia="zh-CN"/>
              </w:rPr>
              <w:t>100ml</w:t>
            </w:r>
            <w:r>
              <w:rPr>
                <w:rFonts w:hint="eastAsia" w:ascii="仿宋" w:hAnsi="仿宋" w:eastAsia="仿宋"/>
                <w:b w:val="0"/>
                <w:bCs/>
                <w:szCs w:val="21"/>
                <w:lang w:val="en-US" w:eastAsia="zh-CN"/>
              </w:rPr>
              <w:t>各</w:t>
            </w:r>
            <w:r>
              <w:rPr>
                <w:rFonts w:hint="default" w:ascii="仿宋" w:hAnsi="仿宋" w:eastAsia="仿宋"/>
                <w:b w:val="0"/>
                <w:bCs/>
                <w:szCs w:val="21"/>
                <w:lang w:val="en-US" w:eastAsia="zh-CN"/>
              </w:rPr>
              <w:t>2</w:t>
            </w:r>
            <w:r>
              <w:rPr>
                <w:rFonts w:hint="eastAsia" w:ascii="仿宋" w:hAnsi="仿宋" w:eastAsia="仿宋"/>
                <w:b w:val="0"/>
                <w:bCs/>
                <w:szCs w:val="21"/>
                <w:lang w:val="en-US" w:eastAsia="zh-CN"/>
              </w:rPr>
              <w:t>个</w:t>
            </w:r>
          </w:p>
        </w:tc>
        <w:tc>
          <w:tcPr>
            <w:tcW w:w="825" w:type="dxa"/>
            <w:vAlign w:val="center"/>
          </w:tcPr>
          <w:p>
            <w:pPr>
              <w:spacing w:line="320" w:lineRule="exact"/>
              <w:jc w:val="center"/>
              <w:rPr>
                <w:rFonts w:hint="eastAsia" w:ascii="仿宋" w:hAnsi="仿宋" w:eastAsia="仿宋"/>
                <w:b w:val="0"/>
                <w:bCs/>
                <w:szCs w:val="21"/>
                <w:lang w:eastAsia="zh-CN"/>
              </w:rPr>
            </w:pPr>
          </w:p>
        </w:tc>
        <w:tc>
          <w:tcPr>
            <w:tcW w:w="750" w:type="dxa"/>
            <w:vAlign w:val="center"/>
          </w:tcPr>
          <w:p>
            <w:pPr>
              <w:spacing w:line="320" w:lineRule="exact"/>
              <w:jc w:val="center"/>
              <w:rPr>
                <w:rFonts w:hint="eastAsia" w:ascii="仿宋" w:hAnsi="仿宋" w:eastAsia="仿宋"/>
                <w:b w:val="0"/>
                <w:bCs/>
                <w:szCs w:val="21"/>
                <w:lang w:eastAsia="zh-CN"/>
              </w:rPr>
            </w:pP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薄层点样毛细管</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0.3mm×100mm</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1000</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容量瓶</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25ml</w:t>
            </w:r>
            <w:r>
              <w:rPr>
                <w:rFonts w:hint="eastAsia" w:ascii="仿宋" w:hAnsi="仿宋" w:eastAsia="仿宋"/>
                <w:b w:val="0"/>
                <w:bCs/>
                <w:szCs w:val="21"/>
                <w:lang w:val="en-US" w:eastAsia="zh-CN"/>
              </w:rPr>
              <w:t>透明</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20</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具塞锥形瓶</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50ml</w:t>
            </w:r>
            <w:r>
              <w:rPr>
                <w:rFonts w:hint="eastAsia" w:ascii="仿宋" w:hAnsi="仿宋" w:eastAsia="仿宋"/>
                <w:b w:val="0"/>
                <w:bCs/>
                <w:szCs w:val="21"/>
                <w:lang w:val="en-US" w:eastAsia="zh-CN"/>
              </w:rPr>
              <w:t>透明</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20</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具塞锥形瓶</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100ml</w:t>
            </w:r>
            <w:r>
              <w:rPr>
                <w:rFonts w:hint="eastAsia" w:ascii="仿宋" w:hAnsi="仿宋" w:eastAsia="仿宋"/>
                <w:b w:val="0"/>
                <w:bCs/>
                <w:szCs w:val="21"/>
                <w:lang w:val="en-US" w:eastAsia="zh-CN"/>
              </w:rPr>
              <w:t>透明</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20</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漏斗</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直径</w:t>
            </w:r>
            <w:r>
              <w:rPr>
                <w:rFonts w:hint="default" w:ascii="仿宋" w:hAnsi="仿宋" w:eastAsia="仿宋"/>
                <w:b w:val="0"/>
                <w:bCs/>
                <w:szCs w:val="21"/>
                <w:lang w:val="en-US" w:eastAsia="zh-CN"/>
              </w:rPr>
              <w:t>3.5cm</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20</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进样瓶盒</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2ml</w:t>
            </w:r>
            <w:r>
              <w:rPr>
                <w:rFonts w:hint="eastAsia" w:ascii="仿宋" w:hAnsi="仿宋" w:eastAsia="仿宋"/>
                <w:b w:val="0"/>
                <w:bCs/>
                <w:szCs w:val="21"/>
                <w:lang w:val="en-US" w:eastAsia="zh-CN"/>
              </w:rPr>
              <w:t>（</w:t>
            </w:r>
            <w:r>
              <w:rPr>
                <w:rFonts w:hint="default" w:ascii="仿宋" w:hAnsi="仿宋" w:eastAsia="仿宋"/>
                <w:b w:val="0"/>
                <w:bCs/>
                <w:szCs w:val="21"/>
                <w:lang w:val="en-US" w:eastAsia="zh-CN"/>
              </w:rPr>
              <w:t>100</w:t>
            </w:r>
            <w:r>
              <w:rPr>
                <w:rFonts w:hint="eastAsia" w:ascii="仿宋" w:hAnsi="仿宋" w:eastAsia="仿宋"/>
                <w:b w:val="0"/>
                <w:bCs/>
                <w:szCs w:val="21"/>
                <w:lang w:val="en-US" w:eastAsia="zh-CN"/>
              </w:rPr>
              <w:t>孔，</w:t>
            </w:r>
            <w:r>
              <w:rPr>
                <w:rFonts w:hint="default" w:ascii="仿宋" w:hAnsi="仿宋" w:eastAsia="仿宋"/>
                <w:b w:val="0"/>
                <w:bCs/>
                <w:szCs w:val="21"/>
                <w:lang w:val="en-US" w:eastAsia="zh-CN"/>
              </w:rPr>
              <w:t>HM-1010E</w:t>
            </w:r>
            <w:r>
              <w:rPr>
                <w:rFonts w:hint="eastAsia" w:ascii="仿宋" w:hAnsi="仿宋" w:eastAsia="仿宋"/>
                <w:b w:val="0"/>
                <w:bCs/>
                <w:szCs w:val="21"/>
                <w:lang w:val="en-US" w:eastAsia="zh-CN"/>
              </w:rPr>
              <w:t>）</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8</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梨形分液漏斗</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250ml</w:t>
            </w:r>
            <w:r>
              <w:rPr>
                <w:rFonts w:hint="eastAsia" w:ascii="仿宋" w:hAnsi="仿宋" w:eastAsia="仿宋"/>
                <w:b w:val="0"/>
                <w:bCs/>
                <w:szCs w:val="21"/>
                <w:lang w:val="en-US" w:eastAsia="zh-CN"/>
              </w:rPr>
              <w:t>（配四氟活塞）</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10</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索氏提取器</w:t>
            </w:r>
          </w:p>
        </w:tc>
        <w:tc>
          <w:tcPr>
            <w:tcW w:w="2055" w:type="dxa"/>
            <w:vAlign w:val="center"/>
          </w:tcPr>
          <w:p>
            <w:pPr>
              <w:spacing w:line="320" w:lineRule="exact"/>
              <w:jc w:val="center"/>
              <w:rPr>
                <w:rFonts w:hint="eastAsia" w:ascii="仿宋" w:hAnsi="仿宋" w:eastAsia="仿宋"/>
                <w:b w:val="0"/>
                <w:bCs/>
                <w:szCs w:val="21"/>
                <w:lang w:eastAsia="zh-CN"/>
              </w:rPr>
            </w:pP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套</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安捷伦接头</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5500-1194*2</w:t>
            </w:r>
            <w:r>
              <w:rPr>
                <w:rFonts w:hint="eastAsia" w:ascii="仿宋" w:hAnsi="仿宋" w:eastAsia="仿宋"/>
                <w:b w:val="0"/>
                <w:bCs/>
                <w:szCs w:val="21"/>
                <w:lang w:val="en-US" w:eastAsia="zh-CN"/>
              </w:rPr>
              <w:t>个，</w:t>
            </w:r>
            <w:r>
              <w:rPr>
                <w:rFonts w:hint="default" w:ascii="仿宋" w:hAnsi="仿宋" w:eastAsia="仿宋"/>
                <w:b w:val="0"/>
                <w:bCs/>
                <w:szCs w:val="21"/>
                <w:lang w:val="en-US" w:eastAsia="zh-CN"/>
              </w:rPr>
              <w:t>5500-1196*2</w:t>
            </w:r>
            <w:r>
              <w:rPr>
                <w:rFonts w:hint="eastAsia" w:ascii="仿宋" w:hAnsi="仿宋" w:eastAsia="仿宋"/>
                <w:b w:val="0"/>
                <w:bCs/>
                <w:szCs w:val="21"/>
                <w:lang w:val="en-US" w:eastAsia="zh-CN"/>
              </w:rPr>
              <w:t>个，</w:t>
            </w:r>
            <w:r>
              <w:rPr>
                <w:rFonts w:hint="default" w:ascii="仿宋" w:hAnsi="仿宋" w:eastAsia="仿宋"/>
                <w:b w:val="0"/>
                <w:bCs/>
                <w:szCs w:val="21"/>
                <w:lang w:val="en-US" w:eastAsia="zh-CN"/>
              </w:rPr>
              <w:t>5067-5966*4</w:t>
            </w:r>
            <w:r>
              <w:rPr>
                <w:rFonts w:hint="eastAsia" w:ascii="仿宋" w:hAnsi="仿宋" w:eastAsia="仿宋"/>
                <w:b w:val="0"/>
                <w:bCs/>
                <w:szCs w:val="21"/>
                <w:lang w:val="en-US" w:eastAsia="zh-CN"/>
              </w:rPr>
              <w:t>个，</w:t>
            </w:r>
            <w:r>
              <w:rPr>
                <w:rFonts w:hint="default" w:ascii="仿宋" w:hAnsi="仿宋" w:eastAsia="仿宋"/>
                <w:b w:val="0"/>
                <w:bCs/>
                <w:szCs w:val="21"/>
                <w:lang w:val="en-US" w:eastAsia="zh-CN"/>
              </w:rPr>
              <w:t>5043-0924*4</w:t>
            </w:r>
            <w:r>
              <w:rPr>
                <w:rFonts w:hint="eastAsia" w:ascii="仿宋" w:hAnsi="仿宋" w:eastAsia="仿宋"/>
                <w:b w:val="0"/>
                <w:bCs/>
                <w:szCs w:val="21"/>
                <w:lang w:val="en-US" w:eastAsia="zh-CN"/>
              </w:rPr>
              <w:t>个，</w:t>
            </w:r>
            <w:r>
              <w:rPr>
                <w:rFonts w:hint="default" w:ascii="仿宋" w:hAnsi="仿宋" w:eastAsia="仿宋"/>
                <w:b w:val="0"/>
                <w:bCs/>
                <w:szCs w:val="21"/>
                <w:lang w:val="en-US" w:eastAsia="zh-CN"/>
              </w:rPr>
              <w:t>5062-2418*4</w:t>
            </w:r>
            <w:r>
              <w:rPr>
                <w:rFonts w:hint="eastAsia" w:ascii="仿宋" w:hAnsi="仿宋" w:eastAsia="仿宋"/>
                <w:b w:val="0"/>
                <w:bCs/>
                <w:szCs w:val="21"/>
                <w:lang w:val="en-US" w:eastAsia="zh-CN"/>
              </w:rPr>
              <w:t>个</w:t>
            </w:r>
          </w:p>
        </w:tc>
        <w:tc>
          <w:tcPr>
            <w:tcW w:w="825" w:type="dxa"/>
            <w:vAlign w:val="center"/>
          </w:tcPr>
          <w:p>
            <w:pPr>
              <w:spacing w:line="320" w:lineRule="exact"/>
              <w:jc w:val="center"/>
              <w:rPr>
                <w:rFonts w:hint="eastAsia" w:ascii="仿宋" w:hAnsi="仿宋" w:eastAsia="仿宋"/>
                <w:b w:val="0"/>
                <w:bCs/>
                <w:szCs w:val="21"/>
                <w:lang w:eastAsia="zh-CN"/>
              </w:rPr>
            </w:pPr>
          </w:p>
        </w:tc>
        <w:tc>
          <w:tcPr>
            <w:tcW w:w="750" w:type="dxa"/>
            <w:vAlign w:val="center"/>
          </w:tcPr>
          <w:p>
            <w:pPr>
              <w:spacing w:line="320" w:lineRule="exact"/>
              <w:jc w:val="center"/>
              <w:rPr>
                <w:rFonts w:hint="eastAsia" w:ascii="仿宋" w:hAnsi="仿宋" w:eastAsia="仿宋"/>
                <w:b w:val="0"/>
                <w:bCs/>
                <w:szCs w:val="21"/>
                <w:lang w:eastAsia="zh-CN"/>
              </w:rPr>
            </w:pP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高效液相色谱仪氘灯</w:t>
            </w:r>
          </w:p>
        </w:tc>
        <w:tc>
          <w:tcPr>
            <w:tcW w:w="205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型号①VWD：G1314-60100；②DAD：2140-0820</w:t>
            </w:r>
          </w:p>
        </w:tc>
        <w:tc>
          <w:tcPr>
            <w:tcW w:w="825"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2</w:t>
            </w:r>
          </w:p>
        </w:tc>
        <w:tc>
          <w:tcPr>
            <w:tcW w:w="750"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硅胶薄层板</w:t>
            </w:r>
          </w:p>
        </w:tc>
        <w:tc>
          <w:tcPr>
            <w:tcW w:w="2055" w:type="dxa"/>
            <w:vAlign w:val="center"/>
          </w:tcPr>
          <w:p>
            <w:pPr>
              <w:spacing w:line="320" w:lineRule="exact"/>
              <w:jc w:val="center"/>
              <w:rPr>
                <w:rFonts w:hint="eastAsia" w:ascii="仿宋" w:hAnsi="仿宋" w:eastAsia="仿宋"/>
                <w:b w:val="0"/>
                <w:bCs/>
                <w:szCs w:val="21"/>
                <w:lang w:eastAsia="zh-CN"/>
              </w:rPr>
            </w:pPr>
            <w:r>
              <w:rPr>
                <w:rFonts w:hint="default" w:ascii="仿宋" w:hAnsi="仿宋" w:eastAsia="仿宋"/>
                <w:b w:val="0"/>
                <w:bCs/>
                <w:szCs w:val="21"/>
                <w:lang w:val="en-US" w:eastAsia="zh-CN"/>
              </w:rPr>
              <w:t>G</w:t>
            </w:r>
            <w:r>
              <w:rPr>
                <w:rFonts w:hint="eastAsia" w:ascii="仿宋" w:hAnsi="仿宋" w:eastAsia="仿宋"/>
                <w:b w:val="0"/>
                <w:bCs/>
                <w:szCs w:val="21"/>
                <w:lang w:val="en-US" w:eastAsia="zh-CN"/>
              </w:rPr>
              <w:t>板</w:t>
            </w:r>
            <w:r>
              <w:rPr>
                <w:rFonts w:hint="default" w:ascii="仿宋" w:hAnsi="仿宋" w:eastAsia="仿宋"/>
                <w:b w:val="0"/>
                <w:bCs/>
                <w:szCs w:val="21"/>
                <w:lang w:val="en-US" w:eastAsia="zh-CN"/>
              </w:rPr>
              <w:t>5cm×10cm 10</w:t>
            </w:r>
            <w:r>
              <w:rPr>
                <w:rFonts w:hint="eastAsia" w:ascii="仿宋" w:hAnsi="仿宋" w:eastAsia="仿宋"/>
                <w:b w:val="0"/>
                <w:bCs/>
                <w:szCs w:val="21"/>
                <w:lang w:val="en-US" w:eastAsia="zh-CN"/>
              </w:rPr>
              <w:t>盒；</w:t>
            </w:r>
            <w:r>
              <w:rPr>
                <w:rFonts w:hint="default" w:ascii="仿宋" w:hAnsi="仿宋" w:eastAsia="仿宋"/>
                <w:b w:val="0"/>
                <w:bCs/>
                <w:szCs w:val="21"/>
                <w:lang w:val="en-US" w:eastAsia="zh-CN"/>
              </w:rPr>
              <w:t>G</w:t>
            </w:r>
            <w:r>
              <w:rPr>
                <w:rFonts w:hint="eastAsia" w:ascii="仿宋" w:hAnsi="仿宋" w:eastAsia="仿宋"/>
                <w:b w:val="0"/>
                <w:bCs/>
                <w:szCs w:val="21"/>
                <w:lang w:val="en-US" w:eastAsia="zh-CN"/>
              </w:rPr>
              <w:t>板</w:t>
            </w:r>
            <w:r>
              <w:rPr>
                <w:rFonts w:hint="default" w:ascii="仿宋" w:hAnsi="仿宋" w:eastAsia="仿宋"/>
                <w:b w:val="0"/>
                <w:bCs/>
                <w:szCs w:val="21"/>
                <w:lang w:val="en-US" w:eastAsia="zh-CN"/>
              </w:rPr>
              <w:t>10cm×10cm 10</w:t>
            </w:r>
            <w:r>
              <w:rPr>
                <w:rFonts w:hint="eastAsia" w:ascii="仿宋" w:hAnsi="仿宋" w:eastAsia="仿宋"/>
                <w:b w:val="0"/>
                <w:bCs/>
                <w:szCs w:val="21"/>
                <w:lang w:val="en-US" w:eastAsia="zh-CN"/>
              </w:rPr>
              <w:t>盒；</w:t>
            </w:r>
            <w:r>
              <w:rPr>
                <w:rFonts w:hint="default" w:ascii="仿宋" w:hAnsi="仿宋" w:eastAsia="仿宋"/>
                <w:b w:val="0"/>
                <w:bCs/>
                <w:szCs w:val="21"/>
                <w:lang w:val="en-US" w:eastAsia="zh-CN"/>
              </w:rPr>
              <w:t>GF254</w:t>
            </w:r>
            <w:r>
              <w:rPr>
                <w:rFonts w:hint="eastAsia" w:ascii="仿宋" w:hAnsi="仿宋" w:eastAsia="仿宋"/>
                <w:b w:val="0"/>
                <w:bCs/>
                <w:szCs w:val="21"/>
                <w:lang w:val="en-US" w:eastAsia="zh-CN"/>
              </w:rPr>
              <w:t xml:space="preserve">板 </w:t>
            </w:r>
            <w:r>
              <w:rPr>
                <w:rFonts w:hint="default" w:ascii="仿宋" w:hAnsi="仿宋" w:eastAsia="仿宋"/>
                <w:b w:val="0"/>
                <w:bCs/>
                <w:szCs w:val="21"/>
                <w:lang w:val="en-US" w:eastAsia="zh-CN"/>
              </w:rPr>
              <w:t>10cm×10cm 10</w:t>
            </w:r>
            <w:r>
              <w:rPr>
                <w:rFonts w:hint="eastAsia" w:ascii="仿宋" w:hAnsi="仿宋" w:eastAsia="仿宋"/>
                <w:b w:val="0"/>
                <w:bCs/>
                <w:szCs w:val="21"/>
                <w:lang w:val="en-US" w:eastAsia="zh-CN"/>
              </w:rPr>
              <w:t>盒；</w:t>
            </w:r>
            <w:r>
              <w:rPr>
                <w:rFonts w:hint="default" w:ascii="仿宋" w:hAnsi="仿宋" w:eastAsia="仿宋"/>
                <w:b w:val="0"/>
                <w:bCs/>
                <w:szCs w:val="21"/>
                <w:lang w:val="en-US" w:eastAsia="zh-CN"/>
              </w:rPr>
              <w:t>H</w:t>
            </w:r>
            <w:r>
              <w:rPr>
                <w:rFonts w:hint="eastAsia" w:ascii="仿宋" w:hAnsi="仿宋" w:eastAsia="仿宋"/>
                <w:b w:val="0"/>
                <w:bCs/>
                <w:szCs w:val="21"/>
                <w:lang w:val="en-US" w:eastAsia="zh-CN"/>
              </w:rPr>
              <w:t xml:space="preserve">板 </w:t>
            </w:r>
            <w:r>
              <w:rPr>
                <w:rFonts w:hint="default" w:ascii="仿宋" w:hAnsi="仿宋" w:eastAsia="仿宋"/>
                <w:b w:val="0"/>
                <w:bCs/>
                <w:szCs w:val="21"/>
                <w:lang w:val="en-US" w:eastAsia="zh-CN"/>
              </w:rPr>
              <w:t>10cm×10cm 5</w:t>
            </w:r>
            <w:r>
              <w:rPr>
                <w:rFonts w:hint="eastAsia" w:ascii="仿宋" w:hAnsi="仿宋" w:eastAsia="仿宋"/>
                <w:b w:val="0"/>
                <w:bCs/>
                <w:szCs w:val="21"/>
                <w:lang w:val="en-US" w:eastAsia="zh-CN"/>
              </w:rPr>
              <w:t>盒；碱板（</w:t>
            </w:r>
            <w:r>
              <w:rPr>
                <w:rFonts w:hint="default" w:ascii="仿宋" w:hAnsi="仿宋" w:eastAsia="仿宋"/>
                <w:b w:val="0"/>
                <w:bCs/>
                <w:szCs w:val="21"/>
                <w:lang w:val="en-US" w:eastAsia="zh-CN"/>
              </w:rPr>
              <w:t>0.1%</w:t>
            </w:r>
            <w:r>
              <w:rPr>
                <w:rFonts w:hint="eastAsia" w:ascii="仿宋" w:hAnsi="仿宋" w:eastAsia="仿宋"/>
                <w:b w:val="0"/>
                <w:bCs/>
                <w:szCs w:val="21"/>
                <w:lang w:val="en-US" w:eastAsia="zh-CN"/>
              </w:rPr>
              <w:t>氢氧化钠制）</w:t>
            </w:r>
            <w:r>
              <w:rPr>
                <w:rFonts w:hint="default" w:ascii="仿宋" w:hAnsi="仿宋" w:eastAsia="仿宋"/>
                <w:b w:val="0"/>
                <w:bCs/>
                <w:szCs w:val="21"/>
                <w:lang w:val="en-US" w:eastAsia="zh-CN"/>
              </w:rPr>
              <w:t>10cm×10cm 3</w:t>
            </w:r>
            <w:r>
              <w:rPr>
                <w:rFonts w:hint="eastAsia" w:ascii="仿宋" w:hAnsi="仿宋" w:eastAsia="仿宋"/>
                <w:b w:val="0"/>
                <w:bCs/>
                <w:szCs w:val="21"/>
                <w:lang w:val="en-US" w:eastAsia="zh-CN"/>
              </w:rPr>
              <w:t>盒（青岛海洋化工出）</w:t>
            </w:r>
          </w:p>
        </w:tc>
        <w:tc>
          <w:tcPr>
            <w:tcW w:w="825" w:type="dxa"/>
            <w:vAlign w:val="center"/>
          </w:tcPr>
          <w:p>
            <w:pPr>
              <w:spacing w:line="320" w:lineRule="exact"/>
              <w:jc w:val="center"/>
              <w:rPr>
                <w:rFonts w:hint="eastAsia" w:ascii="仿宋" w:hAnsi="仿宋" w:eastAsia="仿宋"/>
                <w:b w:val="0"/>
                <w:bCs/>
                <w:szCs w:val="21"/>
                <w:lang w:eastAsia="zh-CN"/>
              </w:rPr>
            </w:pPr>
          </w:p>
        </w:tc>
        <w:tc>
          <w:tcPr>
            <w:tcW w:w="750" w:type="dxa"/>
            <w:vAlign w:val="center"/>
          </w:tcPr>
          <w:p>
            <w:pPr>
              <w:spacing w:line="320" w:lineRule="exact"/>
              <w:jc w:val="center"/>
              <w:rPr>
                <w:rFonts w:hint="eastAsia" w:ascii="仿宋" w:hAnsi="仿宋" w:eastAsia="仿宋"/>
                <w:b w:val="0"/>
                <w:bCs/>
                <w:szCs w:val="21"/>
                <w:lang w:eastAsia="zh-CN"/>
              </w:rPr>
            </w:pP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合计</w:t>
            </w:r>
          </w:p>
        </w:tc>
        <w:tc>
          <w:tcPr>
            <w:tcW w:w="2055" w:type="dxa"/>
            <w:vAlign w:val="center"/>
          </w:tcPr>
          <w:p>
            <w:pPr>
              <w:spacing w:line="320" w:lineRule="exact"/>
              <w:jc w:val="center"/>
              <w:rPr>
                <w:rFonts w:hint="default" w:ascii="仿宋" w:hAnsi="仿宋" w:eastAsia="仿宋"/>
                <w:b w:val="0"/>
                <w:bCs/>
                <w:szCs w:val="21"/>
                <w:lang w:val="en-US" w:eastAsia="zh-CN"/>
              </w:rPr>
            </w:pPr>
          </w:p>
        </w:tc>
        <w:tc>
          <w:tcPr>
            <w:tcW w:w="825" w:type="dxa"/>
            <w:vAlign w:val="center"/>
          </w:tcPr>
          <w:p>
            <w:pPr>
              <w:spacing w:line="320" w:lineRule="exact"/>
              <w:jc w:val="center"/>
              <w:rPr>
                <w:rFonts w:hint="eastAsia" w:ascii="仿宋" w:hAnsi="仿宋" w:eastAsia="仿宋"/>
                <w:b w:val="0"/>
                <w:bCs/>
                <w:szCs w:val="21"/>
                <w:lang w:eastAsia="zh-CN"/>
              </w:rPr>
            </w:pPr>
          </w:p>
        </w:tc>
        <w:tc>
          <w:tcPr>
            <w:tcW w:w="750" w:type="dxa"/>
            <w:vAlign w:val="center"/>
          </w:tcPr>
          <w:p>
            <w:pPr>
              <w:spacing w:line="320" w:lineRule="exact"/>
              <w:jc w:val="center"/>
              <w:rPr>
                <w:rFonts w:hint="eastAsia" w:ascii="仿宋" w:hAnsi="仿宋" w:eastAsia="仿宋"/>
                <w:b w:val="0"/>
                <w:bCs/>
                <w:szCs w:val="21"/>
                <w:lang w:eastAsia="zh-CN"/>
              </w:rPr>
            </w:pP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E0CD8EF"/>
    <w:multiLevelType w:val="singleLevel"/>
    <w:tmpl w:val="5E0CD8E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AE634D"/>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font11"/>
    <w:basedOn w:val="12"/>
    <w:uiPriority w:val="0"/>
    <w:rPr>
      <w:rFonts w:hint="default" w:ascii="Times New Roman" w:hAnsi="Times New Roman" w:cs="Times New Roman"/>
      <w:color w:val="000000"/>
      <w:sz w:val="24"/>
      <w:szCs w:val="24"/>
      <w:u w:val="none"/>
    </w:rPr>
  </w:style>
  <w:style w:type="character" w:customStyle="1" w:styleId="18">
    <w:name w:val="font21"/>
    <w:basedOn w:val="1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3</TotalTime>
  <ScaleCrop>false</ScaleCrop>
  <LinksUpToDate>false</LinksUpToDate>
  <CharactersWithSpaces>1428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2022-12-08T08:42:45Z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