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bookmarkStart w:id="0" w:name="_GoBack"/>
      <w:r>
        <w:rPr>
          <w:rFonts w:hint="eastAsia" w:asciiTheme="majorEastAsia" w:hAnsiTheme="majorEastAsia" w:eastAsiaTheme="majorEastAsia"/>
          <w:b/>
          <w:sz w:val="32"/>
          <w:szCs w:val="32"/>
          <w:u w:val="single"/>
        </w:rPr>
        <w:t>内镜专用吊塔</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10"/>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总体要求</w:t>
            </w:r>
          </w:p>
        </w:tc>
        <w:tc>
          <w:tcPr>
            <w:tcW w:w="1941" w:type="dxa"/>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生产厂家通过ISO9001、ISO13485质量体系认证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医用吊塔通过CE、EMC、RoHS认证，提供认证书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医用吊塔通过ISO11197医疗供应装置检测，通过EN60601-1医用电气设备安全通用要求检测，提供检测报告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吊塔主体采用模具化生产、挤压成型、模块化拼接、无外露螺丝钉，流线型设计，国标6063和6005高强度铝合金材质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防护能力强，具有抗九级地震烈度能力，通过抗冲击碰撞实验，通过四倍承重试验，外壳防护等级不低于IP20级，提供第三方机构出具的试验报告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表面采用静电喷涂环保粉末材料工艺，抗菌、耐腐蚀、易消毒和清洗；哑光无眩目感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吊柱：七面型多腔体，气、电分离设计，气体终端、电源插座分别安装于不同腔体的面板上，安装面板各朝向不同的方向，避免相互干扰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仪器平台：四周有防设备掉落凸边，四角圆角防撞设计，两侧配不锈钢边轨，以便挂载其它设备，摆放高度可无需专用工具自由调节，后侧有专用的电源线绕线装置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抽屉：面板圆角防撞设计，带阻尼式自动吸附功能，可有效防止开关抽屉时造成碰撞</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伸展臂：铝合金材质，多种规格可选，有良好的阻尼调节装置，配有内藏式管线槽，以便更高效的管理各种电缆管线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气体终端：德标制式，接口颜色以形状不同，具有防误接功能，六滚珠卡口设计，有通、断、拨三种状态，能带气维修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电源插座：国标5孔电源插座，采用45度斜角安装，避免插拔时电源线相互干扰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276"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单套内镜塔配置参数要求</w:t>
            </w:r>
          </w:p>
          <w:p>
            <w:pPr>
              <w:spacing w:line="320" w:lineRule="exact"/>
              <w:rPr>
                <w:rFonts w:hint="eastAsia" w:ascii="仿宋" w:hAnsi="仿宋" w:eastAsia="仿宋" w:cs="仿宋"/>
                <w:kern w:val="2"/>
                <w:sz w:val="24"/>
                <w:szCs w:val="24"/>
                <w:lang w:val="en-US" w:eastAsia="zh-CN" w:bidi="ar-SA"/>
              </w:rPr>
            </w:pPr>
          </w:p>
        </w:tc>
        <w:tc>
          <w:tcPr>
            <w:tcW w:w="1941" w:type="dxa"/>
          </w:tcPr>
          <w:p>
            <w:pPr>
              <w:spacing w:line="276"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单臂1套：臂长≥1米，承重≥180kg，旋转角度≥330°，配阻尼刹车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276"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吊柱1套：长度1.2米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276"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仪器平台3套：尺寸0.55×0.5米，承重＞50kg。满足内镜仪器的放置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276"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抽屉1套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276"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不锈钢网篮1个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276"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气体终端6个：氧气2个，负压吸引2个，空气1个，二氧化碳1个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276"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电源插座10个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276"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网络接口2个：RJ45六类八芯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276"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视频接口1个：根据院方仪器标准配置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276"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管线整理夹4个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276"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软镜架：双镜位挂架，伸展臂长度≥0.3米，高度可调节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kern w:val="2"/>
                <w:sz w:val="24"/>
                <w:szCs w:val="24"/>
                <w:lang w:val="en-US" w:eastAsia="zh-CN" w:bidi="ar-SA"/>
              </w:rPr>
            </w:pPr>
          </w:p>
        </w:tc>
        <w:tc>
          <w:tcPr>
            <w:tcW w:w="1941" w:type="dxa"/>
          </w:tcPr>
          <w:p>
            <w:pPr>
              <w:spacing w:line="276"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有独立显示塔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2"/>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pStyle w:val="2"/>
        <w:rPr>
          <w:rFonts w:ascii="仿宋" w:hAnsi="仿宋" w:eastAsia="仿宋"/>
          <w:szCs w:val="21"/>
        </w:rPr>
      </w:pPr>
    </w:p>
    <w:p>
      <w:pPr>
        <w:pStyle w:val="4"/>
        <w:rPr>
          <w:rFonts w:ascii="仿宋" w:hAnsi="仿宋" w:eastAsia="仿宋"/>
          <w:szCs w:val="21"/>
        </w:rPr>
      </w:pPr>
    </w:p>
    <w:p>
      <w:pPr>
        <w:pStyle w:val="4"/>
        <w:rPr>
          <w:rFonts w:ascii="仿宋" w:hAnsi="仿宋" w:eastAsia="仿宋"/>
          <w:szCs w:val="21"/>
        </w:rPr>
      </w:pPr>
    </w:p>
    <w:p>
      <w:pPr>
        <w:pStyle w:val="4"/>
        <w:rPr>
          <w:rFonts w:ascii="仿宋" w:hAnsi="仿宋" w:eastAsia="仿宋"/>
          <w:szCs w:val="21"/>
        </w:rPr>
      </w:pPr>
    </w:p>
    <w:p>
      <w:pPr>
        <w:pStyle w:val="4"/>
        <w:rPr>
          <w:rFonts w:ascii="仿宋" w:hAnsi="仿宋" w:eastAsia="仿宋"/>
          <w:szCs w:val="21"/>
        </w:rPr>
      </w:pPr>
    </w:p>
    <w:p>
      <w:pPr>
        <w:pStyle w:val="4"/>
        <w:rPr>
          <w:rFonts w:ascii="仿宋" w:hAnsi="仿宋" w:eastAsia="仿宋"/>
          <w:szCs w:val="21"/>
        </w:rPr>
      </w:pPr>
    </w:p>
    <w:p>
      <w:pPr>
        <w:pStyle w:val="4"/>
        <w:rPr>
          <w:rFonts w:ascii="仿宋" w:hAnsi="仿宋" w:eastAsia="仿宋"/>
          <w:szCs w:val="21"/>
        </w:rPr>
      </w:pPr>
    </w:p>
    <w:p>
      <w:pPr>
        <w:pStyle w:val="4"/>
        <w:rPr>
          <w:rFonts w:ascii="仿宋" w:hAnsi="仿宋" w:eastAsia="仿宋"/>
          <w:szCs w:val="21"/>
        </w:rPr>
      </w:pPr>
    </w:p>
    <w:p>
      <w:pPr>
        <w:pStyle w:val="4"/>
        <w:rPr>
          <w:rFonts w:ascii="仿宋" w:hAnsi="仿宋" w:eastAsia="仿宋"/>
          <w:szCs w:val="21"/>
        </w:rPr>
      </w:pPr>
    </w:p>
    <w:p>
      <w:pPr>
        <w:pStyle w:val="4"/>
        <w:rPr>
          <w:rFonts w:ascii="仿宋" w:hAnsi="仿宋" w:eastAsia="仿宋"/>
          <w:szCs w:val="21"/>
        </w:rPr>
      </w:pPr>
    </w:p>
    <w:p>
      <w:pPr>
        <w:pStyle w:val="4"/>
        <w:rPr>
          <w:rFonts w:ascii="仿宋" w:hAnsi="仿宋" w:eastAsia="仿宋"/>
          <w:szCs w:val="21"/>
        </w:rPr>
      </w:pPr>
    </w:p>
    <w:p>
      <w:pPr>
        <w:pStyle w:val="4"/>
        <w:rPr>
          <w:rFonts w:ascii="仿宋" w:hAnsi="仿宋" w:eastAsia="仿宋"/>
          <w:szCs w:val="21"/>
        </w:rPr>
      </w:pPr>
    </w:p>
    <w:p>
      <w:pPr>
        <w:pStyle w:val="4"/>
        <w:rPr>
          <w:rFonts w:ascii="仿宋" w:hAnsi="仿宋" w:eastAsia="仿宋"/>
          <w:szCs w:val="21"/>
        </w:rPr>
      </w:pPr>
    </w:p>
    <w:p>
      <w:pPr>
        <w:pStyle w:val="4"/>
        <w:rPr>
          <w:rFonts w:ascii="仿宋" w:hAnsi="仿宋" w:eastAsia="仿宋"/>
          <w:szCs w:val="21"/>
        </w:rPr>
      </w:pPr>
    </w:p>
    <w:p>
      <w:pPr>
        <w:pStyle w:val="4"/>
        <w:rPr>
          <w:rFonts w:ascii="仿宋" w:hAnsi="仿宋" w:eastAsia="仿宋"/>
          <w:szCs w:val="21"/>
        </w:rPr>
      </w:pPr>
    </w:p>
    <w:p>
      <w:pPr>
        <w:pStyle w:val="4"/>
        <w:ind w:left="0" w:leftChars="0" w:firstLine="0" w:firstLineChars="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2"/>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10"/>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B18745C"/>
    <w:multiLevelType w:val="singleLevel"/>
    <w:tmpl w:val="7B18745C"/>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MTViYjkwNjFlN2YyMGIyMTE1MGFmMjc1NDA3Z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8E6F4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0397D"/>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Normal Indent"/>
    <w:basedOn w:val="1"/>
    <w:semiHidden/>
    <w:unhideWhenUsed/>
    <w:uiPriority w:val="99"/>
    <w:pPr>
      <w:ind w:firstLine="420" w:firstLineChars="200"/>
    </w:pPr>
  </w:style>
  <w:style w:type="paragraph" w:styleId="5">
    <w:name w:val="Body Text"/>
    <w:basedOn w:val="1"/>
    <w:next w:val="6"/>
    <w:qFormat/>
    <w:uiPriority w:val="0"/>
    <w:pPr>
      <w:spacing w:after="120"/>
    </w:pPr>
  </w:style>
  <w:style w:type="paragraph" w:customStyle="1" w:styleId="6">
    <w:name w:val="style4"/>
    <w:basedOn w:val="1"/>
    <w:next w:val="7"/>
    <w:qFormat/>
    <w:uiPriority w:val="0"/>
    <w:pPr>
      <w:widowControl/>
      <w:spacing w:before="280" w:after="280"/>
    </w:pPr>
    <w:rPr>
      <w:rFonts w:ascii="宋体" w:hAnsi="Times New Roman" w:eastAsia="宋体" w:cs="Times New Roman"/>
      <w:sz w:val="18"/>
    </w:rPr>
  </w:style>
  <w:style w:type="paragraph" w:customStyle="1" w:styleId="7">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unhideWhenUsed/>
    <w:qFormat/>
    <w:uiPriority w:val="99"/>
    <w:pPr>
      <w:ind w:firstLine="420" w:firstLineChars="100"/>
    </w:pPr>
    <w:rPr>
      <w:rFonts w:ascii="Times New Roman" w:hAnsi="Times New Roman"/>
      <w:kern w:val="0"/>
      <w:sz w:val="20"/>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9"/>
    <w:semiHidden/>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1944</Words>
  <Characters>2058</Characters>
  <Lines>6</Lines>
  <Paragraphs>1</Paragraphs>
  <TotalTime>15</TotalTime>
  <ScaleCrop>false</ScaleCrop>
  <LinksUpToDate>false</LinksUpToDate>
  <CharactersWithSpaces>2204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2022-12-05T02:40:18Z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911BD839CFC94D4992CDB46A0EFBFCEE</vt:lpwstr>
  </property>
  <property fmtid="{D5CDD505-2E9C-101B-9397-08002B2CF9AE}" pid="4" name="commondata">
    <vt:lpwstr>eyJoZGlkIjoiNzljOTE0MDRlMmUyY2M3ZGQ4Nzk0OWRiOWI1OGE3ZmYifQ==</vt:lpwstr>
  </property>
</Properties>
</file>