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ascii="Times New Roman" w:hAnsi="Times New Roman" w:eastAsia="黑体" w:cs="Times New Roman"/>
          <w:b/>
          <w:bCs/>
          <w:sz w:val="32"/>
          <w:szCs w:val="40"/>
          <w:u w:val="single"/>
        </w:rPr>
        <w:t>内镜中心洗消系统及配套设备</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8"/>
          <w:rFonts w:hint="eastAsia" w:ascii="仿宋" w:hAnsi="仿宋" w:eastAsia="仿宋" w:cs="仿宋"/>
          <w:b w:val="0"/>
          <w:bCs/>
          <w:color w:val="auto"/>
          <w:sz w:val="21"/>
          <w:szCs w:val="21"/>
          <w:lang w:eastAsia="zh-CN"/>
        </w:rPr>
        <w:t>具备</w:t>
      </w:r>
      <w:r>
        <w:rPr>
          <w:rStyle w:val="18"/>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8"/>
          <w:rFonts w:hint="eastAsia" w:ascii="仿宋" w:hAnsi="仿宋" w:eastAsia="仿宋" w:cs="仿宋"/>
          <w:b/>
          <w:bCs w:val="0"/>
          <w:color w:val="auto"/>
          <w:sz w:val="21"/>
          <w:szCs w:val="21"/>
          <w:lang w:eastAsia="zh-CN"/>
        </w:rPr>
        <w:t>或具备</w:t>
      </w:r>
      <w:r>
        <w:rPr>
          <w:rStyle w:val="18"/>
          <w:rFonts w:hint="eastAsia" w:ascii="仿宋" w:hAnsi="仿宋" w:eastAsia="仿宋" w:cs="仿宋"/>
          <w:b/>
          <w:bCs w:val="0"/>
          <w:color w:val="auto"/>
          <w:sz w:val="21"/>
          <w:szCs w:val="21"/>
          <w:lang w:val="en-US" w:eastAsia="zh-CN"/>
        </w:rPr>
        <w:t>CMA【或CNAS】资质检测机构）</w:t>
      </w:r>
      <w:r>
        <w:rPr>
          <w:rStyle w:val="18"/>
          <w:rFonts w:hint="eastAsia" w:ascii="仿宋" w:hAnsi="仿宋" w:eastAsia="仿宋" w:cs="仿宋"/>
          <w:b w:val="0"/>
          <w:bCs/>
          <w:color w:val="auto"/>
          <w:sz w:val="21"/>
          <w:szCs w:val="21"/>
          <w:lang w:val="en-US" w:eastAsia="zh-CN"/>
        </w:rPr>
        <w:t>出具的</w:t>
      </w:r>
      <w:r>
        <w:rPr>
          <w:rStyle w:val="18"/>
          <w:rFonts w:hint="eastAsia" w:ascii="仿宋" w:hAnsi="仿宋" w:eastAsia="仿宋" w:cs="仿宋"/>
          <w:b w:val="0"/>
          <w:bCs/>
          <w:color w:val="auto"/>
          <w:sz w:val="21"/>
          <w:szCs w:val="21"/>
        </w:rPr>
        <w:t>质检报告原件扫描件</w:t>
      </w:r>
      <w:r>
        <w:rPr>
          <w:rStyle w:val="18"/>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8"/>
          <w:rFonts w:hint="eastAsia" w:ascii="仿宋" w:hAnsi="仿宋" w:eastAsia="仿宋" w:cs="仿宋"/>
          <w:b w:val="0"/>
          <w:bCs/>
          <w:color w:val="auto"/>
          <w:sz w:val="21"/>
          <w:szCs w:val="21"/>
        </w:rPr>
        <w:t>食药监局</w:t>
      </w:r>
      <w:r>
        <w:rPr>
          <w:rStyle w:val="18"/>
          <w:rFonts w:hint="eastAsia" w:ascii="仿宋" w:hAnsi="仿宋" w:eastAsia="仿宋" w:cs="仿宋"/>
          <w:b w:val="0"/>
          <w:bCs/>
          <w:color w:val="auto"/>
          <w:sz w:val="21"/>
          <w:szCs w:val="21"/>
          <w:lang w:eastAsia="zh-CN"/>
        </w:rPr>
        <w:t>或</w:t>
      </w:r>
      <w:r>
        <w:rPr>
          <w:rStyle w:val="18"/>
          <w:rFonts w:hint="eastAsia" w:ascii="仿宋" w:hAnsi="仿宋" w:eastAsia="仿宋" w:cs="仿宋"/>
          <w:b w:val="0"/>
          <w:bCs/>
          <w:color w:val="auto"/>
          <w:sz w:val="21"/>
          <w:szCs w:val="21"/>
        </w:rPr>
        <w:t>其下属单位</w:t>
      </w:r>
      <w:r>
        <w:rPr>
          <w:rStyle w:val="18"/>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1"/>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3"/>
        <w:tblW w:w="979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1"/>
        <w:gridCol w:w="1076"/>
        <w:gridCol w:w="3378"/>
        <w:gridCol w:w="1005"/>
        <w:gridCol w:w="675"/>
        <w:gridCol w:w="1530"/>
        <w:gridCol w:w="15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9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7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53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50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7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78"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0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75" w:type="dxa"/>
            <w:vMerge w:val="continue"/>
          </w:tcPr>
          <w:p>
            <w:pPr>
              <w:spacing w:line="320" w:lineRule="exact"/>
              <w:rPr>
                <w:rFonts w:ascii="仿宋" w:hAnsi="仿宋" w:eastAsia="仿宋"/>
                <w:b w:val="0"/>
                <w:bCs/>
                <w:szCs w:val="21"/>
              </w:rPr>
            </w:pPr>
          </w:p>
        </w:tc>
        <w:tc>
          <w:tcPr>
            <w:tcW w:w="1530" w:type="dxa"/>
            <w:vMerge w:val="continue"/>
          </w:tcPr>
          <w:p>
            <w:pPr>
              <w:spacing w:line="320" w:lineRule="exact"/>
              <w:rPr>
                <w:rFonts w:ascii="仿宋" w:hAnsi="仿宋" w:eastAsia="仿宋"/>
                <w:b w:val="0"/>
                <w:bCs/>
                <w:szCs w:val="21"/>
              </w:rPr>
            </w:pPr>
          </w:p>
        </w:tc>
        <w:tc>
          <w:tcPr>
            <w:tcW w:w="150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总技术要求</w:t>
            </w:r>
          </w:p>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提供设计方案，方案设计按软式内镜清洗消毒技术规范wS507-2016及内镜清洗工作站行业规范 YY0992-2016 标准设计制造, 《医院空气净化管理规范》 WS/T368-2012等院内感染控制要求。</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具体设备长度以现场实测且经院方认可的方案方可实施为准，投标人可联系院方自行勘探现场。</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投标人的投标文件必须标明所投货物的品牌与参数，保证原厂正品供货，提供相关资料等。</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内镜清洗工作站，（数量3套，分别用于胃镜2套，肠镜1套）。</w:t>
            </w: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工作站各功能槽的尺寸为: 胃肠镜清洗单槽外尺寸：≥685*760*200mm,干燥台外尺寸：≥1796*760*200mm。</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提供二类医疗器械注册证。</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内镜清洗工作站至少由超声槽、清洗槽、漂洗槽、浸泡槽(消毒槽)、末洗槽(终末漂洗槽)干燥台和管路系统、控制系统组成。</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功能背板采用吊柜式设计，上柜体采用平移上翻开门设计且内部有不小于7寸嵌入式触摸屏，下柜体回弹式开门。台面支架为优质304#不锈钢,柜门采用专业订做的PMMA面板制作,柜内设置专用PVC储物底板。所用材料全部防腐防潮。不锈钢厚度不小于1.5mm,且NI，%镍的含量不小10.09（提供第三方检测的不锈钢厚度检测报告且送检单位为制造商)</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支架及柜门皆采用分段式倾斜设计。</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内镜清洗工作站吊柜采用铝合金喷涂板，或采用钢化玻璃门。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工作站功能槽及功能背板采用能耐受化学腐蚀及机械应力的改性PMMA-ABS 高分子复合材料板材制作。</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工作站的管件、管路和阀门应符合YY/T 0734.1-2009中4.11 的要求在运行</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采用304#不锈钢水龙头、304#不锈钢排水阀及优质的原料PP-R供水管路</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排水系统须采用密闭式排水并有防逆流结构</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医用水/气枪采用304#不锈钢材质制作 ,应为手握式按压,非单指按压开关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清洗槽：内镜清洗槽配置清洗喷枪(气源)、镜体测漏器(泄漏检测装置)、灌流装置、水龙头,且有容量标识、酶液配比系统</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漂洗槽：灌流装置、水龙头</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消毒槽：灌流装置、气体解析系统</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末洗槽：灌流装置、水龙头</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干燥台应配置中心气体处理器、灌流气压调节器、清洗喷枪 和纱布架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超声槽：（数量4台）</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工作站超声槽至少应配置超声装置、水龙头，内镜清洗工作站配套超声槽（内镜清洗工作站产品注册证组成部分需包含超声槽，在注册证中有体现）</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17.2工作站超声槽至少应配置超声装置、水龙头, 嵌入在清洗槽底部, 与槽底在同一平面上, 节约空间使用更方便</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超声频率40kHz、80KHZ、100KHZ三种频率可调: 超声频率误差应在±10%范围内</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应具有加热煮沸功能,加热温度 0℃～45℃ 内可调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具有水位报警功能,水位低于设定值时应报警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控制系统：为了保证后续产品的升级提供设备生产商自有的计算机软件著作权证书。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工作程序：设备具有六种预设程序，分别为单频清洗、多频清洗、单频煮沸清洗、多频煮沸清洗、手动清洗、煮沸清洗六种程序，可实现不同器械快速选择不同程序的清洗方式。控制系统采用 PLC 系统加 7 寸彩色触摸屏，实现清洗过程的温度、时间、超声频率、超声功率可实时显示，并通过密码实现调节（提供屏幕实物图片和超声煮沸消毒器注册证证明）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酶液/消毒液全自动循环灌注器要求：</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一次性完成四个环节的工作:"脉动" 注液、注气、吸引、计时,并设计有自动注气功能(可根据需要自行设定时间)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灌流监测功能：实时监测是否有水、气注入内镜管腔，在屏幕上会有报警提示界面</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控制系统采用 PLC 系统加 不小于7寸彩色触摸屏，杜绝按键式，带有洗消人员登录界面，输入用户名和密码方可启动清洗工作站。</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侧漏、灌流、气体解析、监控、吸引，均在触摸屏上操作，可显示当前日期、时间、工作状态显示、启动、内镜信息、操作提示，功能选择。</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消毒报警功能界面：程序检测消毒液使用次数及使用天数，到达使用次数或天数后，屏幕提示“消毒液已过使用次数，请更换”或“消毒液已过使用天数，请更换”。更换消毒液，界面显示消毒液种类，设置消毒液添加时间，使用次数，使用天数等信息。</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程序参数设置功能，有一级管理和二级管理。</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盘式内镜储存柜（数量1台，支气管镜和喉镜使用）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适用范围：适用于医院内镜中心的各类型软式内窥镜的储存。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储存温湿度：内镜储存工作温度 45∽50℃，相对湿度 20%～65%。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储存方式：水平托盘存放设计，最大同时摆放8条各类型软式内窥镜，可存放各式内镜，如超声内镜、肠镜、小肠镜等内镜。 设备每条内镜有独立的开关门装置，电子锁，存取采用刷卡或屏幕操作，操作后对应的内镜储存位置的门自动开门。可通过设备每个通道上自带灯带的颜色变化提示内镜的储存状态。（提供实物图片加以证明）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信息系统：设备预留追溯接口，可与质量管理追溯系统对接，将设备运行各项数据进行追溯记录，注册，对人员、内镜信息（名称、品牌、编号）进行注册登记</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内镜储存：对清洗消毒合格后的内镜进行储存，储存96小时后，内镜腔体的菌落总数均≤20cfu/件。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控制系统：≥10寸触摸彩色显示屏和 PLC 控制系统，能实时监控柜内温度、湿度、存放时间以及各种运行信息。</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产品防护：为了减少内镜储存过程中的污染，储存柜正常工作时，柜内空气中的沉降菌≤1cfu/皿。须提供省级疾控中心机构出具的检测报告加以证明。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20.8除湿系统：通过 PID 模块对湿度进行控制，保证柜内湿度控制在设定值的±5%；除湿系统在 8min 左右使柜内的湿度从 90%降到 65%以下。温控系统：通过 PID 模块对温度进行控制，保证柜内温度精度在0.1℃范围内。</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智能监测：设备应对真空吸引系统、消毒装置、温湿度控制系统和高效过滤系统进行监测，当检测到异常，设备报警提示，保证内镜储存环境的安全。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智能内镜储存柜（数量2台，胃肠镜存放使用各1台）</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适用范围：适用于医院内镜中心的各类型软式内窥镜的储存悬挂储存的要求.</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储存数量：可同时储存16条以上各类型软式内窥镜。</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循环系统：设备储存室实时保持正压状态，防止外面空气进入储存室内，确保洁净状态。通过规范的高水平消毒的内镜，可保持内镜的内外洁净度。</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洁净度：储存柜正常工作时，柜内空气洁净度符合7 级的要求，柜内空气中粒径 ≥0.5μm 的悬浮粒子（尘埃粒子）数均＜200000pc/m3， ≥5μm 的悬浮粒子（尘埃粒子）不得检出。(须提供省级疾控中心机构出具的检测报告加以证明)。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除湿系统：通过 PID 模块对湿度进行控制，保证柜内湿度控制在设定值的 ±5%；除湿系统在≤ 8min使柜内的湿度从90%降到65%以下。</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内镜储存：对清洗消毒合格后的内镜进行储存，储存720小时后，内镜腔体的菌落总数均＜1cfu/件。(须提供省级疾控中心机构出具的检测报告加以证明)。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真空吸引：对储存内镜管腔内部进行真空吸引，实现储存内镜的管道快速洁净干燥（提供医院在用且真空吸引实物图片证明）。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控制系统： ≥7 寸彩色触摸屏和 PLC 控制系统，能实时监控柜内温度、湿度、存放时间以及时间登录信息时间显示，以及登录的操作人员信息、参数温度、湿度、压差的实时显示、存储信息显示各通道内镜储存信息、存取内镜对话操作页面（显示内镜类型设备具有两种模式进行存放内镜。刷卡存储：将注册后的内镜用身份卡在设备读卡处进行读卡，设备读取到内镜信息后，自动将门打开并将空位旋转到门的正前方，方便内镜的储存。按键存储：按触摸屏上的“存内镜”按键，设备弹出内镜储存对话框，根据内镜注册的信息，选择对应的品牌和类型，确定后，设备自动选择存放位置。、内镜信息注册（人员注册：可记录使用人员姓名+科室内镜信息注册：内镜钢号+ID号+内镜品牌+内镜类型+内镜投入使用时间）、参数设备（温度+湿度+压差+消毒消毒设备：手动+自动）、密码管理：对人员的一二级密码进行设定；公共参数的设置：温度+湿度+压差+消毒选择等记录查询：内镜的储存记录+设备故障记录查询、机器设置（设备激活：开机注册+二次注册+保养+追溯机器调试：配件测试机器信息：编号+版本号；并可通过USB 接口导出数据。（提供实物图片证明以上说明）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变频系统保持柜内与柜外的压差在5～20Pa，变频系统根据压差来控制运转速度，让柜内与柜外的压差始终保持在在5～20Pa。(须提供省级疾控中心机构出具的检测报告加以证明)。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智能监测：设备应对真空吸引系统、消毒装置、温湿度控制系统和高效过滤系统进行监测，当检测到异常，设备报警提示，保证内镜储存环境的安全。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开门方式：设备左右门均为自动开关门结构，方便操作人员操作。并可采用脚踢、刷卡和触摸屏操作进行开关门操作。方式可进行开关门操作，也可通过触摸屏控制开关门。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内镜转运车(其中箱式转运车1台，2层PMMA材质托盘普通式为5台）</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产品形态：箱式转运车；</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设备材质：箱体采用碳钢烤漆工艺，高硬度，有较好的耐磨性，托盘选用优质改性PMMA材料；</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存储方式：托盘式独立抽屉，采用自吸式导轨设计，每层抽屉具有独立观察窗（提供证明图片）；</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存储数量：≥6条，每条内镜单独抽屉存放（提供证明图片）；设置有密码锁，密码锁须提供国家保密局安全保密测评中心检测认证产品、通过 SGS检测的 CE 及 ROHS 认证（提供相关检测报告及认证证书的扫描件）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产品分类：为满足洁污分离规范管理要求，产品分为洁车和污车两种，污车为黄色标，洁车为蓝色标，可通过颜色快速分辨；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双缸全自动洗消机（数量2台，适用于各种型号的软式内窥镜）。</w:t>
            </w: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一次性可同步或者异步清洗两条软式内镜，两个缸体分别独立进水，独立排水，独立运行</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具备全过程故障报警功能并直观体现在显示屏上</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水槽内部岛式设计，节约消毒液，消毒液箱添加消毒液量可调节，针对不同内镜，可自由添加8到12升的消毒液，确保不同厂家的内镜均在节液的前提下全浸泡消毒</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设备设计有旋转式喷淋装置，可以全方位对内镜外表面进行冲洗，喷淋旋转速度可根据要求调节快慢，喷淋可根据洗消步骤进行酶洗、消毒等步骤，可解决槽盖的清洗消毒</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采用三通道清洗消毒，全程灌流、灌气，清洗消毒无死角，使用高分子材质透明塑料盖，（提供高分子材质透明塑料盖彩页证明）。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整机的工作流程、步骤转换及工作时间均在液晶显示屏上显示，方便操作人员观察，设备操作界面为≥9英寸彩色电容触摸屏，设备内置≥9种操作模式，包括常规洗消、早消毒、晚消毒、阳性病人消毒等（提供实物图片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测漏功能两种模式，可全程检测，也可以只在清洗前检测，如有泄漏，会提供可视和声讯报警信号，并自动终止程序运行，确保不会因为内镜管道破裂，造成内镜进水损坏</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设备内置高精度空气过滤器，使作用于内镜的气体均为洁净气体，≤0.2μm的微粒滤除率≥99.9% </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具备自身消毒功能，采用消毒液可对机器内部全管道、腔体进行循环冲洗、浸泡消毒，可定期进行自身消毒或出现阳性病人时的自身消毒处理。</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具备打印和内镜清洗工作站追溯系统对接功能，能够长期有效的追溯每条内镜的清洗情况，包括镜子的编号、清洗人员、清洗消毒的时间日期等。</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设备选用机动门盖，有显示屏触摸开关门、红外感应脚触开门、快捷键开关门，三种方式，方便实用（提供红外线开门的彩页证明）</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设备配置外接超级过滤器≤0.2μm，并提供第三方的水过滤检测报告。</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提供二类的医疗器械注册证</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立柜式全自动洗消机（数量1台，适用于各种型号的软式内窥镜）。</w:t>
            </w: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用途：适用于各种型号的软式内窥镜:胃镜、十二指肠镜、结肠镜、支气管镜、耳鼻喉镜、胆道镜等内镜的清洗、消毒和干燥。</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流程：全自动清洗内镜全部腔道，处理内镜时，具备初洗、漂洗、化学消毒、漂洗、干燥功能。一键式操作，设备自行完成从进水到吹干管路的流程。</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前、后开门设计，实现洁污分流，具备电动控制自动升降功能。机器配置四条喷淋臂实现720°旋转喷淋。</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荷载量:≥3 条各式内镜，兼容各大品牌。可提供奥林巴斯、宾得、富士三大品牌内镜内腔清洗接头。</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供水压力：0.2Mpa-0.5Mpa；流量＞10L/m。</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脚控电动开关：避免手动开机盖后产生二次污染。</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排水要求：高度≤350mm；排水口径≥50mm。</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外排风量：≥150m³/h。</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全腔道灌流系统，实现5个腔道充分进水清洗，且保障3个内镜灌流系统都具备独立的灌流泵支撑，且每个腔道及灌流系统都具备实时流量监测功能。须提供相应的技术证明文件。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外壳须采用抗菌ABS材质或亚克力材质，整机主体框架采用采用卫生级不锈钢。须提供相应的技术证明文件。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操作屏为7寸触摸屏设计。</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机器需配备三个液体抽吸泵，分别用于过氧乙酸A液和B液及内镜多酶清洗剂使用。搭配过氧乙酸消毒液需使用二元AB液包装，避免一元包装导致的过氧乙酸不稳定性。且提供配套的一用一排过氧乙酸消毒液。须提供相应的技术证明文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机器需正面更换消毒液且配置有三个存放5L液体的存放位置。正面维修，侧面不允许预留检修空间，以减少占地面积。须提供相应的技术证明文件。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自身消毒方式需采用高水平消毒方式。</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具备恒温控制装置，直到达到温度要求，进行消毒作业。</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具备消毒液、酶液不足和机器有故障自动报警，并且显示故障内容。</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设备具有手动模拟操作界面，在模拟功能图上可点动主机泵、电磁阀等关键元件，同时具有应急操作功能。须提供相应的技术证明文件。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过程追溯功能，过程数据打印，能够记录储存洗消数据。具备数据导出功能，可无缝对接其他第三方追溯系统。</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机器采用上方进水的进水方式，以保证充足的供水压力。</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内镜追溯系统（数量1套，用于清洗工作站、全自动洗消机及诊疗间洗消的追溯）。</w:t>
            </w:r>
          </w:p>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严格执行《WS 507---2016 软式内镜清洗消毒技术规范》获得中华人民共和国国家版权局颁发的计算机软件著作权登记证书。</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采用成熟的 RFID 射频技术，组建内镜中心物联网网络，形成全流程闭环追溯，RFID 芯片防水耐腐蚀，不易损坏，可长期复用。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系统结构灵活，服务器自动备份、客户端自动更新。</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系统不受清洗槽及流程和自动清洗机数量的限制。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第三方接数据开放的前提下（由院方负责信息端口开放），支持医院 HIS、PACS 系统的高度融合实现系统间的互联互通和数据共享。</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在第三方清洗机厂家开放接口的前提下，实现自动采集设备数据及监控设备运行。</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各清洗流程，系统自动监控、智能感知、自动记录、无需人为操作。</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对所有的操作进行追踪、记录、分类、统计，并在一个工作平台进行展示。</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采用专用语音提示装置，所有流程操作语音提示，异常操作自动给予预警， 全程辅助操作人员进行高效作业，提供人性化的人机交互方式。</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三重预警，防范感染风险：阳性病人使用预警、未达到规定清洗时间拿出预警、使用前消毒不合格内镜预警。</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自动识别二次清洗、特殊清洗、完结清洗、并在监控平台进行特殊标注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提供内镜中心各工作区域或各工作流程工作量、效率值、内镜使用情况的统计数据。</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提供链式关联追溯；内镜使用病人可通过该链向上对使用此内镜的病人进行追溯。</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含有洗消监控、设备监控、环境监控，实时显示每个监测点位的当前温度、湿度数据和每个点位的温湿度变化曲线。包含了患者检查、医护人员、追溯管理、设备器材、大屏展示、消毒监测、耗材管理、系统管理等功能（提供实物图片加以佐证）。</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为了整套清洗设备之间数据互通和实时的内镜清洗精确时间，须与内镜清洗工作站内镜灌流面板的数据端口实时时间相连接，且和原院方内镜追溯系统数据完美融合。</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纯水机（1台</w:t>
            </w: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总要求：符合《中华人民共和国药典》2015年版第二部纯化水标准和WS507-2016标准要求</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名称：水处理系统数量：1套,产水量：≥1500L/H，水利用率 ≥60%，脱盐率≥ 99%</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产水水质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电导率（25℃）(μS/cm)≤5.1μS/cm；</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提供三甲医院实际使用纯化水产品的第三方检测报告复印件加公章，且提供原件备查。</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设备主要技术要求</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纯水设备需具有独立的供水管路，供水满足多点用水；</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制水系统要求封闭式全自动运行，采用递进式处理+逆透膜处理技术，全系统具有自动脉冲及自清洗功能。</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采用PLC全自动运行控制系统，无需专人看管，主机采用一体式机柜、内部结构模块化，紧凑简洁、占地面积小、维护方便、系统运行可靠稳定；</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采用多层循环控制平衡系统；具有过载、短路、自动复位等功能,具备无水保护，压力保护等多种安全保护装置，可实现多功能在线监测及曾断电提示，可实现系统自动与手动自由运行切换。</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系统具有节能、环保、稳定等优点；智能感应水温实测。</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供水系统采用自缓存式稳压供水技术，输出稳定、无间断；完善应急方案，可实现故障切换，保证供水。</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消毒装置：紫外线消毒+化学消毒方式</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人机界面，动态显示设备运行状态，具备水质超标、故障声光报警及故障分析提示，耗材寿命智能管理，更换提醒；自动待机锁屏更节能。</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选择设备系统需具备节能产品认证书，有效节能。</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控制方式:采用PLC全自动控制系统、人机界面操作。</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kern w:val="2"/>
                <w:sz w:val="24"/>
                <w:szCs w:val="24"/>
                <w:lang w:val="en-US" w:eastAsia="zh-CN" w:bidi="ar-SA"/>
              </w:rPr>
            </w:pPr>
          </w:p>
        </w:tc>
        <w:tc>
          <w:tcPr>
            <w:tcW w:w="3378"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组成:该水处理设备由递进式处理装置、逆透装置以及自缓存式稳压供水装置，消毒装置组成。</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pStyle w:val="2"/>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其他要求</w:t>
            </w:r>
          </w:p>
          <w:p>
            <w:pPr>
              <w:spacing w:line="320" w:lineRule="exact"/>
              <w:rPr>
                <w:rFonts w:hint="eastAsia" w:ascii="仿宋" w:hAnsi="仿宋" w:eastAsia="仿宋" w:cs="仿宋"/>
                <w:b w:val="0"/>
                <w:bCs w:val="0"/>
                <w:kern w:val="2"/>
                <w:sz w:val="24"/>
                <w:szCs w:val="24"/>
                <w:lang w:val="en-US" w:eastAsia="zh-CN" w:bidi="ar-SA"/>
              </w:rPr>
            </w:pPr>
          </w:p>
        </w:tc>
        <w:tc>
          <w:tcPr>
            <w:tcW w:w="3378" w:type="dxa"/>
          </w:tcPr>
          <w:p>
            <w:pPr>
              <w:widowControl/>
              <w:spacing w:line="320" w:lineRule="exact"/>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人员培训要求：货物安装、调试、验收合格后，中标人应对招标人的相关人员进行免费现场培训。</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sz w:val="24"/>
                <w:szCs w:val="24"/>
                <w:lang w:val="en-US" w:eastAsia="zh-CN"/>
              </w:rPr>
            </w:pPr>
          </w:p>
        </w:tc>
        <w:tc>
          <w:tcPr>
            <w:tcW w:w="3378"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货物质量：中标人提供的货物必须是全新、原装、合格正品，完全符合国家规定的质量标准和厂方的标准。货物完好，配件齐全。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sz w:val="24"/>
                <w:szCs w:val="24"/>
                <w:lang w:val="en-US" w:eastAsia="zh-CN"/>
              </w:rPr>
            </w:pPr>
          </w:p>
        </w:tc>
        <w:tc>
          <w:tcPr>
            <w:tcW w:w="3378"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保修及售后服务：依据商品的保修条款及售后服务条款，提供原厂质保，质保期内整机免费维修与更换零配件。质保期外免收服务费用，只收取更换零配件的费用。</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sz w:val="24"/>
                <w:szCs w:val="24"/>
                <w:lang w:val="en-US" w:eastAsia="zh-CN"/>
              </w:rPr>
            </w:pPr>
          </w:p>
        </w:tc>
        <w:tc>
          <w:tcPr>
            <w:tcW w:w="3378"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所有设备无上限开放系统设置密码和终身软件免费升级，在院方信息端口开放的情况下必须保证接入采购人信息系统。</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hint="eastAsia" w:ascii="仿宋" w:hAnsi="仿宋" w:eastAsia="仿宋" w:cs="仿宋"/>
                <w:b w:val="0"/>
                <w:bCs w:val="0"/>
                <w:sz w:val="24"/>
                <w:szCs w:val="24"/>
                <w:lang w:val="en-US" w:eastAsia="zh-CN"/>
              </w:rPr>
            </w:pPr>
          </w:p>
        </w:tc>
        <w:tc>
          <w:tcPr>
            <w:tcW w:w="3378"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验收：中标人和招标人双方共同实施验收工作，结果和验收报告经双方确认后生效。</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ascii="仿宋" w:hAnsi="仿宋" w:eastAsia="仿宋"/>
                <w:b w:val="0"/>
                <w:bCs/>
                <w:szCs w:val="21"/>
              </w:rPr>
            </w:pPr>
          </w:p>
        </w:tc>
        <w:tc>
          <w:tcPr>
            <w:tcW w:w="3378" w:type="dxa"/>
            <w:vAlign w:val="top"/>
          </w:tcPr>
          <w:p>
            <w:pPr>
              <w:pStyle w:val="2"/>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1076" w:type="dxa"/>
          </w:tcPr>
          <w:p>
            <w:pPr>
              <w:spacing w:line="320" w:lineRule="exact"/>
              <w:rPr>
                <w:rFonts w:ascii="仿宋" w:hAnsi="仿宋" w:eastAsia="仿宋"/>
                <w:b w:val="0"/>
                <w:bCs/>
                <w:szCs w:val="21"/>
              </w:rPr>
            </w:pPr>
          </w:p>
        </w:tc>
        <w:tc>
          <w:tcPr>
            <w:tcW w:w="3378"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05" w:type="dxa"/>
          </w:tcPr>
          <w:p>
            <w:pPr>
              <w:spacing w:line="320" w:lineRule="exact"/>
              <w:rPr>
                <w:rFonts w:ascii="仿宋" w:hAnsi="仿宋" w:eastAsia="仿宋"/>
                <w:b w:val="0"/>
                <w:bCs/>
                <w:szCs w:val="21"/>
              </w:rPr>
            </w:pPr>
          </w:p>
        </w:tc>
        <w:tc>
          <w:tcPr>
            <w:tcW w:w="675" w:type="dxa"/>
          </w:tcPr>
          <w:p>
            <w:pPr>
              <w:spacing w:line="320" w:lineRule="exact"/>
              <w:rPr>
                <w:rFonts w:ascii="仿宋" w:hAnsi="仿宋" w:eastAsia="仿宋"/>
                <w:b w:val="0"/>
                <w:bCs/>
                <w:szCs w:val="21"/>
              </w:rPr>
            </w:pPr>
          </w:p>
        </w:tc>
        <w:tc>
          <w:tcPr>
            <w:tcW w:w="1530" w:type="dxa"/>
          </w:tcPr>
          <w:p>
            <w:pPr>
              <w:spacing w:line="320" w:lineRule="exact"/>
              <w:rPr>
                <w:rFonts w:ascii="仿宋" w:hAnsi="仿宋" w:eastAsia="仿宋"/>
                <w:b w:val="0"/>
                <w:bCs/>
                <w:szCs w:val="21"/>
              </w:rPr>
            </w:pPr>
          </w:p>
        </w:tc>
        <w:tc>
          <w:tcPr>
            <w:tcW w:w="150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3"/>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11"/>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2"/>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2"/>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2"/>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2"/>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819AB"/>
    <w:multiLevelType w:val="singleLevel"/>
    <w:tmpl w:val="AC8819AB"/>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7"/>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8A3A01"/>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semiHidden/>
    <w:unhideWhenUsed/>
    <w:qFormat/>
    <w:uiPriority w:val="99"/>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Normal Indent"/>
    <w:basedOn w:val="1"/>
    <w:next w:val="1"/>
    <w:qFormat/>
    <w:uiPriority w:val="0"/>
    <w:pPr>
      <w:wordWrap w:val="0"/>
      <w:ind w:left="3400"/>
    </w:pPr>
  </w:style>
  <w:style w:type="paragraph" w:styleId="6">
    <w:name w:val="Body Text"/>
    <w:basedOn w:val="1"/>
    <w:next w:val="7"/>
    <w:qFormat/>
    <w:uiPriority w:val="0"/>
    <w:pPr>
      <w:spacing w:after="120"/>
    </w:pPr>
  </w:style>
  <w:style w:type="paragraph" w:customStyle="1" w:styleId="7">
    <w:name w:val="style4"/>
    <w:basedOn w:val="1"/>
    <w:next w:val="8"/>
    <w:qFormat/>
    <w:uiPriority w:val="0"/>
    <w:pPr>
      <w:widowControl/>
      <w:spacing w:before="280" w:after="280"/>
    </w:pPr>
    <w:rPr>
      <w:rFonts w:ascii="宋体" w:hAnsi="Times New Roman" w:eastAsia="宋体" w:cs="Times New Roman"/>
      <w:sz w:val="18"/>
    </w:rPr>
  </w:style>
  <w:style w:type="paragraph" w:customStyle="1" w:styleId="8">
    <w:name w:val="2"/>
    <w:next w:val="1"/>
    <w:qFormat/>
    <w:uiPriority w:val="0"/>
    <w:pPr>
      <w:widowControl w:val="0"/>
      <w:jc w:val="both"/>
    </w:pPr>
    <w:rPr>
      <w:rFonts w:ascii="Calibri" w:hAnsi="Calibri" w:eastAsia="宋体" w:cs="Times New Roman"/>
      <w:sz w:val="21"/>
      <w:szCs w:val="22"/>
      <w:lang w:val="en-US" w:eastAsia="zh-CN" w:bidi="ar-SA"/>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unhideWhenUsed/>
    <w:qFormat/>
    <w:uiPriority w:val="99"/>
    <w:pPr>
      <w:ind w:firstLine="420" w:firstLineChars="100"/>
    </w:pPr>
    <w:rPr>
      <w:rFonts w:ascii="Times New Roman" w:hAnsi="Times New Roman"/>
      <w:kern w:val="0"/>
      <w:sz w:val="20"/>
      <w:szCs w:val="20"/>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页眉 Char"/>
    <w:basedOn w:val="14"/>
    <w:link w:val="10"/>
    <w:semiHidden/>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8">
    <w:name w:val="NormalCharacter"/>
    <w:qFormat/>
    <w:uiPriority w:val="0"/>
  </w:style>
  <w:style w:type="paragraph" w:customStyle="1" w:styleId="19">
    <w:name w:val="Table Paragraph"/>
    <w:basedOn w:val="1"/>
    <w:qFormat/>
    <w:uiPriority w:val="1"/>
    <w:rPr>
      <w:rFonts w:ascii="宋体" w:hAnsi="宋体" w:eastAsia="宋体" w:cs="宋体"/>
    </w:rPr>
  </w:style>
  <w:style w:type="paragraph" w:customStyle="1" w:styleId="20">
    <w:name w:val="列表段落1"/>
    <w:basedOn w:val="1"/>
    <w:qFormat/>
    <w:uiPriority w:val="1"/>
    <w:pPr>
      <w:ind w:left="544" w:right="218" w:hanging="425"/>
    </w:pPr>
    <w:rPr>
      <w:rFonts w:ascii="宋体" w:hAnsi="宋体" w:eastAsia="宋体" w:cs="宋体"/>
      <w:lang w:val="zh-CN" w:bidi="zh-CN"/>
    </w:rPr>
  </w:style>
  <w:style w:type="paragraph" w:customStyle="1" w:styleId="21">
    <w:name w:val="列表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4</TotalTime>
  <ScaleCrop>false</ScaleCrop>
  <LinksUpToDate>false</LinksUpToDate>
  <CharactersWithSpaces>1428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2022-12-02T08:27:48Z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