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Style w:val="17"/>
          <w:rFonts w:hint="eastAsia"/>
          <w:b/>
          <w:bCs/>
          <w:u w:val="single"/>
          <w:lang w:val="en-US" w:eastAsia="zh-CN" w:bidi="ar"/>
        </w:rPr>
        <w:t>放疗辅助用超声诊断</w:t>
      </w:r>
      <w:r>
        <w:rPr>
          <w:rStyle w:val="17"/>
          <w:b/>
          <w:bCs/>
          <w:u w:val="single"/>
          <w:lang w:val="en-US" w:eastAsia="zh-CN" w:bidi="ar"/>
        </w:rPr>
        <w:t>仪</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9"/>
        <w:gridCol w:w="1090"/>
        <w:gridCol w:w="2256"/>
        <w:gridCol w:w="1024"/>
        <w:gridCol w:w="786"/>
        <w:gridCol w:w="1937"/>
        <w:gridCol w:w="18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13"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99"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993"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13"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08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4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99" w:type="dxa"/>
            <w:vMerge w:val="continue"/>
          </w:tcPr>
          <w:p>
            <w:pPr>
              <w:spacing w:line="320" w:lineRule="exact"/>
              <w:rPr>
                <w:rFonts w:ascii="仿宋" w:hAnsi="仿宋" w:eastAsia="仿宋"/>
                <w:b w:val="0"/>
                <w:bCs/>
                <w:szCs w:val="21"/>
              </w:rPr>
            </w:pPr>
          </w:p>
        </w:tc>
        <w:tc>
          <w:tcPr>
            <w:tcW w:w="1993" w:type="dxa"/>
            <w:vMerge w:val="continue"/>
          </w:tcPr>
          <w:p>
            <w:pPr>
              <w:spacing w:line="320" w:lineRule="exact"/>
              <w:rPr>
                <w:rFonts w:ascii="仿宋" w:hAnsi="仿宋" w:eastAsia="仿宋"/>
                <w:b w:val="0"/>
                <w:bCs/>
                <w:szCs w:val="21"/>
              </w:rPr>
            </w:pPr>
          </w:p>
        </w:tc>
        <w:tc>
          <w:tcPr>
            <w:tcW w:w="194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显示</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8.0英寸TFT -LCD（4:3） 分辨率 800*600</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侧向分辨力</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3mm（深度≤80mm）</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轴向分辨力</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2mm（深度≤80mm）</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探测深度</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≥160 mm</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操作方式</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触摸键</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电池管理</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容量指示</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探头功率</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2.5MHz</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充电装置</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电源适配器输入电压：AC 100V--240V±10%，50/60HZ；电源适配器输出电压：14V±0.5V；充电器输出电压：14V±0.5V；双电源操作均可</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摆动角度</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120度</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转动角度</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180度</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扫描方式</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专家模式、简易模式两种</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扫描时间</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≤5S扫描12幅图</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扫描结果</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实时显示膀胱图像及位置，自动扫描和计算，自动显示测量数据结果，并显示最大值</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测量范围</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0ml-999 ml</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精确度</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0ml≤V≤999ml,±15%  15ml</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性别选择</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男、女（有子宫）、女（子宫切除）、儿童</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自动校准</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具备体膜自动校准，无需人工判断准确度</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组织谐波成像</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具备组织谐波成像功能</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上位机支持</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具备上位机软件，并能进行数据管理，打印A4报告</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扫描图像实时沟边</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具备扫描图像实时绿色沟边，并有自动判定位置的中心指示线</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扫描有效提示</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明确判断是否扫描有效</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扫描定位</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智能定位</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病例管理</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多人多次存储，100人次1200幅图片；可导出到U盘和计算机</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输出接口</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1个标准USB接口，连接U盘  1个miniUSB接口，连接电脑</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打印选择</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医生根据需要选择打印2幅图像</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重量</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≤1500g（含探头）</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电源</w:t>
            </w:r>
          </w:p>
        </w:tc>
        <w:tc>
          <w:tcPr>
            <w:tcW w:w="2086"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双电源内部供电；内置电池供电，外接电源，直流电、电池使用时间≥3小时</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认证</w:t>
            </w:r>
          </w:p>
        </w:tc>
        <w:tc>
          <w:tcPr>
            <w:tcW w:w="2086"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CE、FDA、SFDA认证</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系统维护</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定期对系统软件进行免费更新、升级，不收取每年的仪器校正费用。</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资质证明</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设备生产厂商的配置清单；提供医疗器械注册证盖章复印件；生产厂家授权书原件。获得《中华人民共和国医疗器械注册证》三年以上，实际装机医院(完成采购流程，以销售合同及发票为准)超过50家(请附装机名单)</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操作培训</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提供用户操作手册；提供免费视频操作培训指南 </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售后服务承诺</w:t>
            </w:r>
          </w:p>
        </w:tc>
        <w:tc>
          <w:tcPr>
            <w:tcW w:w="2086"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详细列出配置清单及单价和维修配件、必需的耗材清单，提供详细售后服务计划。投标文件中出具制造商国内售后服务部门针对本项目的承诺书。</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tcPr>
          <w:p>
            <w:pPr>
              <w:spacing w:line="320" w:lineRule="exact"/>
              <w:rPr>
                <w:rFonts w:ascii="仿宋" w:hAnsi="仿宋" w:eastAsia="仿宋"/>
                <w:b w:val="0"/>
                <w:bCs/>
                <w:szCs w:val="21"/>
              </w:rPr>
            </w:pPr>
          </w:p>
        </w:tc>
        <w:tc>
          <w:tcPr>
            <w:tcW w:w="2086"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113" w:type="dxa"/>
          </w:tcPr>
          <w:p>
            <w:pPr>
              <w:spacing w:line="320" w:lineRule="exact"/>
              <w:rPr>
                <w:rFonts w:ascii="仿宋" w:hAnsi="仿宋" w:eastAsia="仿宋"/>
                <w:b w:val="0"/>
                <w:bCs/>
                <w:szCs w:val="21"/>
              </w:rPr>
            </w:pPr>
          </w:p>
        </w:tc>
        <w:tc>
          <w:tcPr>
            <w:tcW w:w="208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1436DD0"/>
    <w:multiLevelType w:val="singleLevel"/>
    <w:tmpl w:val="41436DD0"/>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63586E"/>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font31"/>
    <w:basedOn w:val="12"/>
    <w:qFormat/>
    <w:uiPriority w:val="0"/>
    <w:rPr>
      <w:rFonts w:hint="eastAsia" w:ascii="宋体" w:hAnsi="宋体" w:eastAsia="宋体" w:cs="宋体"/>
      <w:b/>
      <w:bCs/>
      <w:color w:val="000000"/>
      <w:sz w:val="28"/>
      <w:szCs w:val="28"/>
      <w:u w:val="none"/>
    </w:rPr>
  </w:style>
  <w:style w:type="character" w:customStyle="1" w:styleId="18">
    <w:name w:val="font51"/>
    <w:basedOn w:val="12"/>
    <w:qFormat/>
    <w:uiPriority w:val="0"/>
    <w:rPr>
      <w:rFonts w:ascii="宋体" w:hAnsi="宋体" w:eastAsia="宋体" w:cs="宋体"/>
      <w:color w:val="000000"/>
      <w:sz w:val="22"/>
      <w:szCs w:val="22"/>
      <w:u w:val="none"/>
    </w:rPr>
  </w:style>
  <w:style w:type="character" w:customStyle="1" w:styleId="19">
    <w:name w:val="font4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1</TotalTime>
  <ScaleCrop>false</ScaleCrop>
  <LinksUpToDate>false</LinksUpToDate>
  <CharactersWithSpaces>1428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2022-12-01T07:58:24Z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