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val="0"/>
          <w:bCs/>
          <w:sz w:val="32"/>
          <w:szCs w:val="32"/>
          <w:u w:val="single"/>
        </w:rPr>
        <w:t>放疗辅助用超声诊断仪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8"/>
          <w:rFonts w:hint="eastAsia" w:ascii="仿宋" w:hAnsi="仿宋" w:eastAsia="仿宋" w:cs="仿宋"/>
          <w:b w:val="0"/>
          <w:bCs/>
          <w:color w:val="auto"/>
          <w:sz w:val="21"/>
          <w:szCs w:val="21"/>
          <w:lang w:eastAsia="zh-CN"/>
        </w:rPr>
        <w:t>具备</w:t>
      </w:r>
      <w:r>
        <w:rPr>
          <w:rStyle w:val="18"/>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8"/>
          <w:rFonts w:hint="eastAsia" w:ascii="仿宋" w:hAnsi="仿宋" w:eastAsia="仿宋" w:cs="仿宋"/>
          <w:b/>
          <w:bCs w:val="0"/>
          <w:color w:val="auto"/>
          <w:sz w:val="21"/>
          <w:szCs w:val="21"/>
          <w:lang w:eastAsia="zh-CN"/>
        </w:rPr>
        <w:t>或具备</w:t>
      </w:r>
      <w:r>
        <w:rPr>
          <w:rStyle w:val="18"/>
          <w:rFonts w:hint="eastAsia" w:ascii="仿宋" w:hAnsi="仿宋" w:eastAsia="仿宋" w:cs="仿宋"/>
          <w:b/>
          <w:bCs w:val="0"/>
          <w:color w:val="auto"/>
          <w:sz w:val="21"/>
          <w:szCs w:val="21"/>
          <w:lang w:val="en-US" w:eastAsia="zh-CN"/>
        </w:rPr>
        <w:t>CMA【或CNAS】资质检测机构）</w:t>
      </w:r>
      <w:r>
        <w:rPr>
          <w:rStyle w:val="18"/>
          <w:rFonts w:hint="eastAsia" w:ascii="仿宋" w:hAnsi="仿宋" w:eastAsia="仿宋" w:cs="仿宋"/>
          <w:b w:val="0"/>
          <w:bCs/>
          <w:color w:val="auto"/>
          <w:sz w:val="21"/>
          <w:szCs w:val="21"/>
          <w:lang w:val="en-US" w:eastAsia="zh-CN"/>
        </w:rPr>
        <w:t>出具的</w:t>
      </w:r>
      <w:r>
        <w:rPr>
          <w:rStyle w:val="18"/>
          <w:rFonts w:hint="eastAsia" w:ascii="仿宋" w:hAnsi="仿宋" w:eastAsia="仿宋" w:cs="仿宋"/>
          <w:b w:val="0"/>
          <w:bCs/>
          <w:color w:val="auto"/>
          <w:sz w:val="21"/>
          <w:szCs w:val="21"/>
        </w:rPr>
        <w:t>质检报告原件扫描件</w:t>
      </w:r>
      <w:r>
        <w:rPr>
          <w:rStyle w:val="18"/>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8"/>
          <w:rFonts w:hint="eastAsia" w:ascii="仿宋" w:hAnsi="仿宋" w:eastAsia="仿宋" w:cs="仿宋"/>
          <w:b w:val="0"/>
          <w:bCs/>
          <w:color w:val="auto"/>
          <w:sz w:val="21"/>
          <w:szCs w:val="21"/>
        </w:rPr>
        <w:t>食药监局</w:t>
      </w:r>
      <w:r>
        <w:rPr>
          <w:rStyle w:val="18"/>
          <w:rFonts w:hint="eastAsia" w:ascii="仿宋" w:hAnsi="仿宋" w:eastAsia="仿宋" w:cs="仿宋"/>
          <w:b w:val="0"/>
          <w:bCs/>
          <w:color w:val="auto"/>
          <w:sz w:val="21"/>
          <w:szCs w:val="21"/>
          <w:lang w:eastAsia="zh-CN"/>
        </w:rPr>
        <w:t>或</w:t>
      </w:r>
      <w:r>
        <w:rPr>
          <w:rStyle w:val="18"/>
          <w:rFonts w:hint="eastAsia" w:ascii="仿宋" w:hAnsi="仿宋" w:eastAsia="仿宋" w:cs="仿宋"/>
          <w:b w:val="0"/>
          <w:bCs/>
          <w:color w:val="auto"/>
          <w:sz w:val="21"/>
          <w:szCs w:val="21"/>
        </w:rPr>
        <w:t>其下属单位</w:t>
      </w:r>
      <w:r>
        <w:rPr>
          <w:rStyle w:val="18"/>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07"/>
        <w:gridCol w:w="942"/>
        <w:gridCol w:w="3280"/>
        <w:gridCol w:w="892"/>
        <w:gridCol w:w="706"/>
        <w:gridCol w:w="1602"/>
        <w:gridCol w:w="16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721"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6"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602"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616"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942"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28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92"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06" w:type="dxa"/>
            <w:vMerge w:val="continue"/>
          </w:tcPr>
          <w:p>
            <w:pPr>
              <w:spacing w:line="320" w:lineRule="exact"/>
              <w:rPr>
                <w:rFonts w:ascii="仿宋" w:hAnsi="仿宋" w:eastAsia="仿宋"/>
                <w:b w:val="0"/>
                <w:bCs/>
                <w:szCs w:val="21"/>
              </w:rPr>
            </w:pPr>
          </w:p>
        </w:tc>
        <w:tc>
          <w:tcPr>
            <w:tcW w:w="1602" w:type="dxa"/>
            <w:vMerge w:val="continue"/>
          </w:tcPr>
          <w:p>
            <w:pPr>
              <w:spacing w:line="320" w:lineRule="exact"/>
              <w:rPr>
                <w:rFonts w:ascii="仿宋" w:hAnsi="仿宋" w:eastAsia="仿宋"/>
                <w:b w:val="0"/>
                <w:bCs/>
                <w:szCs w:val="21"/>
              </w:rPr>
            </w:pPr>
          </w:p>
        </w:tc>
        <w:tc>
          <w:tcPr>
            <w:tcW w:w="1616"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bookmarkStart w:id="0" w:name="OLE_LINK110"/>
            <w:r>
              <w:rPr>
                <w:rFonts w:hint="eastAsia" w:ascii="仿宋" w:hAnsi="仿宋" w:eastAsia="仿宋" w:cs="仿宋"/>
                <w:sz w:val="24"/>
                <w:szCs w:val="24"/>
                <w:lang w:val="en-US" w:eastAsia="zh-CN"/>
              </w:rPr>
              <w:t>适合</w:t>
            </w:r>
            <w:bookmarkEnd w:id="0"/>
            <w:r>
              <w:rPr>
                <w:rFonts w:hint="eastAsia" w:ascii="仿宋" w:hAnsi="仿宋" w:eastAsia="仿宋" w:cs="仿宋"/>
                <w:sz w:val="24"/>
                <w:szCs w:val="24"/>
                <w:lang w:val="en-US" w:eastAsia="zh-CN"/>
              </w:rPr>
              <w:t>腹部、妇科、产科、心脏、浅表组织与小器官、外周血管、颅脑、泌尿系统、儿科、矫形外科、经直肠、超声引导下介入性治疗等全身超声应用</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主机成像系统</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显示器：≥15寸，显示器角度可调范围≥30°，标配1把腹部凸阵探头</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显示器清洁可支持浸有清洁剂的软布直接擦拭</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主机可支持同时激活探头接口数最大≥3个，相互通用</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二维灰阶成像部件</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频谱多谱勒显示及分析系统</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彩色多谱勒超声波诊断部件</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多谱勒能量图</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可选配四维成像</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回声信号离线分析及处理，支持动态范围、频谱基线、图像效果等调节，对于存储数据的再测量和分析</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空间复合成像技术（提供证明图片）</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二维和彩色多谱勒双幅实时显示模式</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智能实时宽景成像，支持线阵探头、相控阵及凸阵探头，具备成像速度提示、多种伪彩显示</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vAlign w:val="top"/>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具有组织特征成像能够独立选择肌肉、常规、脂肪、液性成像模式</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vAlign w:val="top"/>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超声图像显示区域一键放大全屏显示</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可选配自动工作流协议，包含血管、小器官、心脏、妇科等检查模式，可自定义检查切面，用于自动化检查 </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整机重量≤8.5kg （不含电池）</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系统集成设计，便携性强，主机不需要额外适配器，可直接接市电使用。</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二维灰阶成像单元</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数字化全程动态聚焦，数字化可变孔径及动态变迹，</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发射声束聚焦：发射≥8段</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最大显示深度:≥35cm（提供图片证明） </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TGC: ≥8段</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动态范围: ≥200，可视可调，提供图片证明）</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彩色多普勒</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多普勒频率≥2段可视可独立调节</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B/Color双幅实时显示</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彩色多普勒血流速度定点测量技术（要求支持一幅画面有≥6个测点以上，并具有深度显示）</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频谱多普勒</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vAlign w:val="top"/>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包括：脉冲多普勒（PW），高脉冲重复频率（HPRF </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vAlign w:val="top"/>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取样宽度及位置范围：0.5mm~20mm</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支持二维和频谱多普勒同时偏转</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四维成像</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成像模式：表面模式、最大模式、最小模式、X-Ray、光影渲染</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支持四维图像光影渲染，光源位置可调 </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四维斑点噪声抑制：≥4级可调</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容积断层成像，断层层数≥20</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可选配一键自动去除胎儿面部遮挡物，自动优化胎儿面部图像</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测量和分析</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常规测量（距离测量、椭圆及描迹测量面积周长、体积测量）</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外周血管专用测量及分析</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妇科/产科专用测量及分析，含双胎测量、胎儿生理评分、中国人群产科公式 </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可选配产科自动测量，包括BPD/HC/FL/AC/OFD/HUM</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心脏功能专用测量及分析</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多普勒测量及分析，（自动及手动包络测量，自动计算测量参数）</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vAlign w:val="top"/>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可实现实时状态下以及冻结后，对于多普勒频谱的自动描记、自动计算测量参数。</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vAlign w:val="top"/>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图像传输与存储单元</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图像存储与(电影)回放重现单元：支持同步存储(支持单帧图像文件包含： DCM、TIFF单帧，电影文件包括：CIN、AVI、DCM)，即存储或导出图像数据的同时可以完成实时扫描</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 复合视频, S---视频，VGA</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支持数据无线传输</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4个USB2.0接口，支持一键操作，图像直接储存硬盘或移动储存设备</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tcPr>
          <w:p>
            <w:pPr>
              <w:pStyle w:val="10"/>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1TB内置硬盘</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p>
        </w:tc>
        <w:tc>
          <w:tcPr>
            <w:tcW w:w="942" w:type="dxa"/>
          </w:tcPr>
          <w:p>
            <w:pPr>
              <w:spacing w:line="320" w:lineRule="exact"/>
              <w:rPr>
                <w:rFonts w:ascii="仿宋" w:hAnsi="仿宋" w:eastAsia="仿宋"/>
                <w:b w:val="0"/>
                <w:bCs/>
                <w:szCs w:val="21"/>
              </w:rPr>
            </w:pPr>
          </w:p>
        </w:tc>
        <w:tc>
          <w:tcPr>
            <w:tcW w:w="3280" w:type="dxa"/>
            <w:vAlign w:val="top"/>
          </w:tcPr>
          <w:p>
            <w:pPr>
              <w:pStyle w:val="10"/>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整机免费保修五年（含所有零部件，包括须定期更换零部件）</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7" w:type="dxa"/>
          </w:tcPr>
          <w:p>
            <w:pPr>
              <w:numPr>
                <w:ilvl w:val="0"/>
                <w:numId w:val="3"/>
              </w:numPr>
              <w:spacing w:line="320" w:lineRule="exact"/>
              <w:ind w:left="425" w:leftChars="0" w:hanging="425" w:firstLineChars="0"/>
              <w:rPr>
                <w:rFonts w:ascii="仿宋" w:hAnsi="仿宋" w:eastAsia="仿宋"/>
                <w:b w:val="0"/>
                <w:bCs/>
                <w:szCs w:val="21"/>
              </w:rPr>
            </w:pPr>
            <w:bookmarkStart w:id="1" w:name="_GoBack"/>
          </w:p>
        </w:tc>
        <w:tc>
          <w:tcPr>
            <w:tcW w:w="942" w:type="dxa"/>
          </w:tcPr>
          <w:p>
            <w:pPr>
              <w:spacing w:line="320" w:lineRule="exact"/>
              <w:rPr>
                <w:rFonts w:ascii="仿宋" w:hAnsi="仿宋" w:eastAsia="仿宋"/>
                <w:b w:val="0"/>
                <w:bCs/>
                <w:szCs w:val="21"/>
              </w:rPr>
            </w:pPr>
          </w:p>
        </w:tc>
        <w:tc>
          <w:tcPr>
            <w:tcW w:w="3280"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892" w:type="dxa"/>
          </w:tcPr>
          <w:p>
            <w:pPr>
              <w:spacing w:line="320" w:lineRule="exact"/>
              <w:rPr>
                <w:rFonts w:ascii="仿宋" w:hAnsi="仿宋" w:eastAsia="仿宋"/>
                <w:b w:val="0"/>
                <w:bCs/>
                <w:szCs w:val="21"/>
              </w:rPr>
            </w:pPr>
          </w:p>
        </w:tc>
        <w:tc>
          <w:tcPr>
            <w:tcW w:w="706" w:type="dxa"/>
          </w:tcPr>
          <w:p>
            <w:pPr>
              <w:spacing w:line="320" w:lineRule="exact"/>
              <w:rPr>
                <w:rFonts w:ascii="仿宋" w:hAnsi="仿宋" w:eastAsia="仿宋"/>
                <w:b w:val="0"/>
                <w:bCs/>
                <w:szCs w:val="21"/>
              </w:rPr>
            </w:pPr>
          </w:p>
        </w:tc>
        <w:tc>
          <w:tcPr>
            <w:tcW w:w="1602" w:type="dxa"/>
          </w:tcPr>
          <w:p>
            <w:pPr>
              <w:spacing w:line="320" w:lineRule="exact"/>
              <w:rPr>
                <w:rFonts w:ascii="仿宋" w:hAnsi="仿宋" w:eastAsia="仿宋"/>
                <w:b w:val="0"/>
                <w:bCs/>
                <w:szCs w:val="21"/>
              </w:rPr>
            </w:pPr>
          </w:p>
        </w:tc>
        <w:tc>
          <w:tcPr>
            <w:tcW w:w="1616" w:type="dxa"/>
          </w:tcPr>
          <w:p>
            <w:pPr>
              <w:spacing w:line="320" w:lineRule="exact"/>
              <w:rPr>
                <w:rFonts w:ascii="仿宋" w:hAnsi="仿宋" w:eastAsia="仿宋"/>
                <w:b w:val="0"/>
                <w:bCs/>
                <w:szCs w:val="21"/>
              </w:rPr>
            </w:pPr>
          </w:p>
        </w:tc>
      </w:tr>
      <w:bookmarkEnd w:id="1"/>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2"/>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1"/>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1"/>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1"/>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0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7"/>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3CDC5B"/>
    <w:multiLevelType w:val="singleLevel"/>
    <w:tmpl w:val="1C3CDC5B"/>
    <w:lvl w:ilvl="0" w:tentative="0">
      <w:start w:val="1"/>
      <w:numFmt w:val="decimal"/>
      <w:lvlText w:val="%1."/>
      <w:lvlJc w:val="left"/>
      <w:pPr>
        <w:ind w:left="425" w:hanging="425"/>
      </w:pPr>
      <w:rPr>
        <w:rFonts w:hint="default"/>
      </w:rPr>
    </w:lvl>
  </w:abstractNum>
  <w:abstractNum w:abstractNumId="2">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6"/>
      <w:isLgl/>
      <w:lvlText w:val="%1.%2"/>
      <w:lvlJc w:val="left"/>
      <w:pPr>
        <w:ind w:left="992" w:hanging="567"/>
      </w:pPr>
      <w:rPr>
        <w:rFonts w:hint="eastAsia" w:eastAsia="微软雅黑"/>
        <w:b/>
        <w:i w:val="0"/>
        <w:sz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865656A"/>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40420"/>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semiHidden/>
    <w:unhideWhenUsed/>
    <w:qFormat/>
    <w:uiPriority w:val="99"/>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semiHidden/>
    <w:unhideWhenUsed/>
    <w:qFormat/>
    <w:uiPriority w:val="99"/>
    <w:pPr>
      <w:ind w:firstLine="42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8"/>
    <w:qFormat/>
    <w:uiPriority w:val="99"/>
    <w:rPr>
      <w:sz w:val="18"/>
      <w:szCs w:val="18"/>
    </w:rPr>
  </w:style>
  <w:style w:type="paragraph" w:customStyle="1" w:styleId="17">
    <w:name w:val="正文1"/>
    <w:basedOn w:val="1"/>
    <w:qFormat/>
    <w:uiPriority w:val="0"/>
    <w:pPr>
      <w:numPr>
        <w:ilvl w:val="0"/>
        <w:numId w:val="2"/>
      </w:numPr>
      <w:tabs>
        <w:tab w:val="left" w:pos="360"/>
      </w:tabs>
      <w:spacing w:line="360" w:lineRule="auto"/>
      <w:ind w:left="357" w:hanging="357"/>
    </w:pPr>
    <w:rPr>
      <w:rFonts w:ascii="宋体" w:hAnsi="宋体" w:eastAsia="宋体" w:cs="Times New Roman"/>
      <w:color w:val="FF0000"/>
      <w:szCs w:val="24"/>
    </w:rPr>
  </w:style>
  <w:style w:type="character" w:customStyle="1" w:styleId="18">
    <w:name w:val="NormalCharacter"/>
    <w:qFormat/>
    <w:uiPriority w:val="0"/>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2279</Words>
  <Characters>2408</Characters>
  <Lines>6</Lines>
  <Paragraphs>1</Paragraphs>
  <TotalTime>4</TotalTime>
  <ScaleCrop>false</ScaleCrop>
  <LinksUpToDate>false</LinksUpToDate>
  <CharactersWithSpaces>2565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2022-11-16T07:50:46Z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