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静脉药物调配机器人</w:t>
      </w:r>
      <w:r>
        <w:rPr>
          <w:rFonts w:hint="eastAsia" w:asciiTheme="majorEastAsia" w:hAnsiTheme="majorEastAsia" w:eastAsiaTheme="majorEastAsia"/>
          <w:b/>
          <w:sz w:val="32"/>
          <w:szCs w:val="32"/>
          <w:u w:val="single"/>
          <w:lang w:val="en-US" w:eastAsia="zh-CN"/>
        </w:rPr>
        <w:t>(西林瓶)</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bookmarkEnd w:id="0"/>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526"/>
        <w:gridCol w:w="1065"/>
        <w:gridCol w:w="780"/>
        <w:gridCol w:w="148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48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52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0" w:type="dxa"/>
            <w:vMerge w:val="continue"/>
          </w:tcPr>
          <w:p>
            <w:pPr>
              <w:spacing w:line="320" w:lineRule="exact"/>
              <w:rPr>
                <w:rFonts w:ascii="仿宋" w:hAnsi="仿宋" w:eastAsia="仿宋"/>
                <w:b w:val="0"/>
                <w:bCs/>
                <w:szCs w:val="21"/>
              </w:rPr>
            </w:pPr>
          </w:p>
        </w:tc>
        <w:tc>
          <w:tcPr>
            <w:tcW w:w="148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both"/>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配药要求及效率</w:t>
            </w:r>
          </w:p>
        </w:tc>
        <w:tc>
          <w:tcPr>
            <w:tcW w:w="2526" w:type="dxa"/>
            <w:vAlign w:val="center"/>
          </w:tcPr>
          <w:p>
            <w:pPr>
              <w:keepNext w:val="0"/>
              <w:keepLines w:val="0"/>
              <w:widowControl/>
              <w:suppressLineNumbers w:val="0"/>
              <w:jc w:val="both"/>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1.可进行全量及定量精准调配，抽吸精度高，残留少；    2.可反复抽取溶媒及药液，便于药品充分溶解；     3.调配每组输液穿刺输液袋、西林瓶次数≤1次（减少皮屑产生）；      4.能识别药品难溶、易溶、起泡及瓶内压力，自动排气；     5.配药效率≥80袋/每小时(以每袋加2支西林瓶为计算标准）。</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both"/>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适用环境及输液袋、西林瓶规格</w:t>
            </w:r>
          </w:p>
        </w:tc>
        <w:tc>
          <w:tcPr>
            <w:tcW w:w="2526"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1.尺寸≤长725*宽450*高465mm，可直接放入生物安全柜内，外形结构不遮挡净化气流走向；        2.适用于50~500ml各种双单阀可立袋、软袋及玻璃瓶；各类大小、型号西林瓶（粉剂、水剂及油剂）适用。　</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信息控制系统</w:t>
            </w:r>
          </w:p>
        </w:tc>
        <w:tc>
          <w:tcPr>
            <w:tcW w:w="2526"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1.触屏操作面板，可连接医院HIS系统获取患者信息，用药信息，配药各环节信息；      2.可进行计费管理；      3.重复配置，药瓶数量不够，注射器更换等均设提醒；      4.对于异常医嘱，通过扫描输液标签条码，可对该医嘱状态进行判断，如停嘱、改批次等，系统自动提示操作人员停止调配。      5.内置软件可详细记录药物配置所有信息，包括处方、操作人员以及操作时间等数据，数据可保存、生成报表并导出备份。</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4"/>
                <w:szCs w:val="24"/>
                <w:u w:val="none"/>
                <w:lang w:val="en-US" w:eastAsia="zh-CN" w:bidi="ar"/>
              </w:rPr>
              <w:t>监控摄像头</w:t>
            </w:r>
          </w:p>
        </w:tc>
        <w:tc>
          <w:tcPr>
            <w:tcW w:w="2526" w:type="dxa"/>
            <w:vAlign w:val="center"/>
          </w:tcPr>
          <w:p>
            <w:pPr>
              <w:keepNext w:val="0"/>
              <w:keepLines w:val="0"/>
              <w:widowControl/>
              <w:suppressLineNumbers w:val="0"/>
              <w:jc w:val="both"/>
              <w:textAlignment w:val="center"/>
              <w:rPr>
                <w:rFonts w:ascii="仿宋" w:hAnsi="仿宋" w:eastAsia="仿宋"/>
                <w:b w:val="0"/>
                <w:bCs/>
                <w:szCs w:val="21"/>
              </w:rPr>
            </w:pPr>
            <w:r>
              <w:rPr>
                <w:rFonts w:hint="eastAsia" w:ascii="宋体" w:hAnsi="宋体" w:eastAsia="宋体" w:cs="宋体"/>
                <w:i w:val="0"/>
                <w:iCs w:val="0"/>
                <w:color w:val="000000"/>
                <w:kern w:val="0"/>
                <w:sz w:val="21"/>
                <w:szCs w:val="21"/>
                <w:u w:val="none"/>
                <w:lang w:val="en-US" w:eastAsia="zh-CN" w:bidi="ar"/>
              </w:rPr>
              <w:t>有监控摄像头，可实时监控录制配药全过程，录像及相关数据可同步追溯。</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耗材</w:t>
            </w:r>
          </w:p>
        </w:tc>
        <w:tc>
          <w:tcPr>
            <w:tcW w:w="2526"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非专用耗材（开放耗材）。</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工作工位数量及情况</w:t>
            </w:r>
          </w:p>
        </w:tc>
        <w:tc>
          <w:tcPr>
            <w:tcW w:w="2526"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多工位，</w:t>
            </w:r>
            <w:r>
              <w:rPr>
                <w:rStyle w:val="17"/>
                <w:rFonts w:eastAsia="宋体"/>
                <w:lang w:val="en-US" w:eastAsia="zh-CN" w:bidi="ar"/>
              </w:rPr>
              <w:t xml:space="preserve"> </w:t>
            </w:r>
            <w:r>
              <w:rPr>
                <w:rStyle w:val="18"/>
                <w:lang w:val="en-US" w:eastAsia="zh-CN" w:bidi="ar"/>
              </w:rPr>
              <w:t>每工位可独立运行。</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设备维护、清洁</w:t>
            </w:r>
          </w:p>
        </w:tc>
        <w:tc>
          <w:tcPr>
            <w:tcW w:w="2526"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设备外部及接触药瓶的部件易清洁、消毒，日常维护简单。</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52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52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148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06F5B"/>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font41"/>
    <w:basedOn w:val="12"/>
    <w:uiPriority w:val="0"/>
    <w:rPr>
      <w:rFonts w:ascii="Calibri" w:hAnsi="Calibri" w:cs="Calibri"/>
      <w:color w:val="000000"/>
      <w:sz w:val="22"/>
      <w:szCs w:val="22"/>
      <w:u w:val="none"/>
    </w:rPr>
  </w:style>
  <w:style w:type="character" w:customStyle="1" w:styleId="18">
    <w:name w:val="font21"/>
    <w:basedOn w:val="1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2022-10-26T02:23:38Z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