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监护仪保修服务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维保形式</w:t>
            </w:r>
          </w:p>
        </w:tc>
        <w:tc>
          <w:tcPr>
            <w:tcW w:w="3630"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全保，在保修服务期内免费提供所有保修所需配件及需定期更换的耗品（各配套型号血氧探头、心电导联线、血压袖带三类）；</w:t>
            </w:r>
          </w:p>
        </w:tc>
        <w:tc>
          <w:tcPr>
            <w:tcW w:w="94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维保期限</w:t>
            </w:r>
          </w:p>
        </w:tc>
        <w:tc>
          <w:tcPr>
            <w:tcW w:w="3630" w:type="dxa"/>
            <w:vAlign w:val="top"/>
          </w:tcPr>
          <w:p>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本次招标服务周期为期2 年。合同一年一考核， 第一年度合同期满前二月，对中标单位进行评价，评价合格自动续签合同，合同要素不变，保修费用以临床科室签字确认单结算。</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备品保障</w:t>
            </w:r>
          </w:p>
        </w:tc>
        <w:tc>
          <w:tcPr>
            <w:tcW w:w="3630"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保证故障发生时，如48小时内无法修复，提供高质量“备用机”，送至使用科室，延时一天，保修延长5天；</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方案提供</w:t>
            </w: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本次项目是采购医疗设备维修保养服务商，供应商应承诺按照国家、行业标准规定，出具一项完善、合理和可行的维保服务方案，每季度巡检一次，并经使用科室确认后送设备科备案存档， 方案中应体现针对本项目的设备进行系统、全面维保所必须的具体措施，人员配置，质量保证、时间安排等内容，保修监护仪每年做一次性能检测，并提供检测报告；</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配件保障</w:t>
            </w: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供应商须保证至少在安徽设有备件库，具备充足的配件供应能力。供应商所提供的零配件具有规范的进货渠道，所有零配件为全新配件， 进口配件须提供报关证明，重要部件需提供出厂检测报告， 所有更换配件应与机器匹配，确保维保后设备质量达到厂家性能指标，并符合法定部门检测要求；维修站的专业工程师厂家资质不少于3名，相关维修经验不低于5年，提供工程师培训资质证书，且在本公司有缴纳社保记录证明与各厂家有亲密合作，提供多种维修方案，充足的配件库和耗材库（提供：仓库照片及板件摆放</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照片）；</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人员保障</w:t>
            </w:r>
          </w:p>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供应商应具有强大技术保障团队，安徽省内必须具有承担本项目所必须的专业技术工程师人数≥3名，</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并提供工程师社保缴纳证明；</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质量保障</w:t>
            </w:r>
          </w:p>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服务期内：</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供应商应承诺提供完善的质量保证措施，对维保设备提供每年 2 次定期维护、保养、校正服务，包括设备安全检查，质量检查，状态检查，除尘保养，确保设备处于正常工作状态。定期维护结束后一周内，向用户方提交详细的检查报告；</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维修方指定工程师为用户提供每季度1次设备巡检，巡检内容包括附件外观检查、监护仪性能测试、运行状态检查等，定期上门巡检，提供巡检报告和维修报告给设备科及使用科室各一份；</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每年维保服务结束前，将这一年度内维修服务报告、巡检、保养报告电子扫描件，统一提供设备科；</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保内呼吸机每年做一次全面质量检测，并提供检测报告；</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响应保障</w:t>
            </w: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为提供快速响应服务，供应商应在安徽省内地区设立常驻服务机构。并承诺提供每周 7ⅹ24 小时服务支持，当设备出现故障时，供应商须在 30 分钟内响应，提供电话技术支持。如电话解决不了设备故障， 供应商须在 4小时（包括节假日）内派出技术人员到达设备使用现场进行维修，对故障件免费提供备件支持，并负责故障件更换直至排除故障；为提供更专业、便捷的维修服务， 投标人必须提供客户服务专线电话；</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其他约定</w:t>
            </w: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w:t>
            </w:r>
            <w:bookmarkStart w:id="0" w:name="_GoBack"/>
            <w:bookmarkEnd w:id="0"/>
            <w:r>
              <w:rPr>
                <w:rFonts w:hint="eastAsia" w:ascii="仿宋" w:hAnsi="仿宋" w:eastAsia="仿宋" w:cs="仿宋"/>
                <w:kern w:val="2"/>
                <w:sz w:val="24"/>
                <w:szCs w:val="24"/>
                <w:lang w:val="en-US" w:eastAsia="zh-CN" w:bidi="ar-SA"/>
              </w:rPr>
              <w:t>自行完成本项目，不得进行转包、分包或由组织外散在的无约束保障的人员参与；</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保修数量</w:t>
            </w:r>
          </w:p>
        </w:tc>
        <w:tc>
          <w:tcPr>
            <w:tcW w:w="3630" w:type="dxa"/>
            <w:vAlign w:val="top"/>
          </w:tcPr>
          <w:p>
            <w:pPr>
              <w:spacing w:line="360" w:lineRule="auto"/>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飞利浦VM6 202台，飞利浦MP20 50台，飞利浦MP40 48台，迈瑞imec10 20台，迈瑞T1 1台，迈瑞imec8 1台</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2F5CE"/>
    <w:multiLevelType w:val="singleLevel"/>
    <w:tmpl w:val="A532F5CE"/>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0941B3E"/>
    <w:multiLevelType w:val="singleLevel"/>
    <w:tmpl w:val="70941B3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xZjkzNWUwNmY1OGNlOGIwOWIxYmQwMmNlNDM4Nz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57E0"/>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006AC5"/>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2286</Words>
  <Characters>2339</Characters>
  <Lines>6</Lines>
  <Paragraphs>1</Paragraphs>
  <TotalTime>13</TotalTime>
  <ScaleCrop>false</ScaleCrop>
  <LinksUpToDate>false</LinksUpToDate>
  <CharactersWithSpaces>2499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2022-10-20T01:23:45Z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