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PET</w:t>
      </w:r>
      <w:r>
        <w:rPr>
          <w:rFonts w:hint="eastAsia" w:asciiTheme="majorEastAsia" w:hAnsiTheme="majorEastAsia" w:eastAsiaTheme="majorEastAsia"/>
          <w:b/>
          <w:sz w:val="32"/>
          <w:szCs w:val="32"/>
          <w:u w:val="single"/>
          <w:lang w:val="en-US" w:eastAsia="zh-CN"/>
        </w:rPr>
        <w:t>-</w:t>
      </w:r>
      <w:r>
        <w:rPr>
          <w:rFonts w:hint="eastAsia" w:asciiTheme="majorEastAsia" w:hAnsiTheme="majorEastAsia" w:eastAsiaTheme="majorEastAsia"/>
          <w:b/>
          <w:sz w:val="32"/>
          <w:szCs w:val="32"/>
          <w:u w:val="single"/>
        </w:rPr>
        <w:t>CT</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1"/>
        <w:gridCol w:w="2499"/>
        <w:gridCol w:w="1380"/>
        <w:gridCol w:w="1140"/>
        <w:gridCol w:w="645"/>
        <w:gridCol w:w="1477"/>
        <w:gridCol w:w="18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7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4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477"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53"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2499"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38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4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45" w:type="dxa"/>
            <w:vMerge w:val="continue"/>
          </w:tcPr>
          <w:p>
            <w:pPr>
              <w:spacing w:line="320" w:lineRule="exact"/>
              <w:rPr>
                <w:rFonts w:ascii="仿宋" w:hAnsi="仿宋" w:eastAsia="仿宋"/>
                <w:b w:val="0"/>
                <w:bCs/>
                <w:szCs w:val="21"/>
              </w:rPr>
            </w:pPr>
          </w:p>
        </w:tc>
        <w:tc>
          <w:tcPr>
            <w:tcW w:w="1477" w:type="dxa"/>
            <w:vMerge w:val="continue"/>
          </w:tcPr>
          <w:p>
            <w:pPr>
              <w:spacing w:line="320" w:lineRule="exact"/>
              <w:rPr>
                <w:rFonts w:ascii="仿宋" w:hAnsi="仿宋" w:eastAsia="仿宋"/>
                <w:b w:val="0"/>
                <w:bCs/>
                <w:szCs w:val="21"/>
              </w:rPr>
            </w:pPr>
          </w:p>
        </w:tc>
        <w:tc>
          <w:tcPr>
            <w:tcW w:w="1853"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为保证技术的先进性，必须提供 2017 年 1 月 1 日及以后在 CFDA 注册的 32 排 64 层及以上 PET/CT 机型，提供产品型号和 上市时间。</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基本结构</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PET</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环数（环）</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≥45</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探测器</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晶体模块</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材料</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LYSO或LBS或LSO</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数量（块）</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≥20000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长×宽（mm）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≤4.0×4.0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光电转化器</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类型</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数字化SiPM</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衰减校正</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衰减校正方式</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CT衰减校正</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校准源类型</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TOF技术（含软、硬件）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提供全套，包括投标截止日期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前已发布的全部最新硬件及软件</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 xml:space="preserve">CT </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探测器</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材料</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固态稀土陶瓷</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CT探测器排数</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≥32排</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CT探测器扫描层数</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≥64层</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探测器单元数（个）</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≥20000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球管与高压发生器</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阳极散热率（KHU/min）</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≥800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球管阳极实际热容量（MHU）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（不含等效概念）</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≥5或等效OM球管</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球管阳极冷却方式</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油冷或水冷</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小焦点尺寸（mm）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≤0.72（按面积计算）</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大焦点尺寸（mm）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≤1.4（按面积计算）</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高压发生器功率（kW）</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≥50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最小管电压（kV）</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≤80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最大管电压（kV）</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≥140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最大管电流（mA）</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≥420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机架</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内置激光定位系统</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机架孔径（cm）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≥70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机架结构</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一体化机架</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开放门控接口</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扫描床</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最大水平移动范围（cm）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≥170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最大轴向扫描范围（cm）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≥170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承重量（kg）</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≥195</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低衰减头托、肢体支架及身体固定装置</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安全保护装置</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计算机系统</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采集和处理工作站</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采集工作站</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1套</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处理工作站</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1套</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采集工作站硬件配置</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主频</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≥4核 2.4GHz</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内存（GB）</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≥24</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硬盘容量（TB）</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数据外存方式</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DVD和DVD-RW</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彩色液晶显示器（LCD）</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≥19"双屏</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处理工作站硬件配置</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主频</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≥4核 2.4GHz</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内存（GB）</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≥24</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硬盘容量（TB）</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数据外存方式</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DVD和DVD-RW</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彩色液晶显示器（LCD）</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≥19"双屏</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原厂网络版后处理工作站硬件</w:t>
            </w:r>
          </w:p>
        </w:tc>
        <w:tc>
          <w:tcPr>
            <w:tcW w:w="1380"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 套（含 2 个后处理工作站终端）</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网络要求</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DICOM 3.0</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提供，支持接收、传输、打印和worklist功能，提供DICOM3.0协议文件</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DICOM RT</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提供，用于放疗数据传输</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辅助设备</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头托</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质控模型</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PET质控模型</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CT质控模型</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PET-CT融合质控模型</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进口双筒高压注射器 1 台</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中文报告系统（含激光彩色打印机）1 套</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远程服务接口</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中英文操作手册</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性能指标（NEMA-2007）</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PET</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扫描参数</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轴向有效扫描视野（cm）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≥15</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重建矩阵</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≥256×256</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横向扫描视野（cm）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≥70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符合时间窗（ns）</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≤4.9</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每床位重建层数（层）</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≥150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性能参数</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系统空间分辨率（FWHM mm，NEMA-2007标准）</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横向</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距中心1cm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≤3.8</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距中心10cm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≤5.5</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轴向</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距中心1cm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≤4.0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距中心10cm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≤4.7</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灵敏度（cps/kBq）（3D采集，NEMA-2007标准）</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≥7.5</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散射分数（%）（3D采集模式）</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≤39</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系统能量分辨率（%）（3D采集模式）</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≤12</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具备TOF方式图像重建条件下的时间分辨率（ps）</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≤500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 xml:space="preserve">CT </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扫描参数</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最大扫描速度（s/360°）</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≤0.50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最薄扫描层厚（mm）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≤0.625</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性能参数</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空间分辨率（LP/cm）</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≥20</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低对比度分辨率</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≤5mm@0.3%</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PET-CT</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门控采集方式</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心电门控系统</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呼吸门控系统</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应用软件</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PET应用软件</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 xml:space="preserve">图像采集软件（包含静态, 动态, 门控,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3D,List mode, 脑，心脏专用等）</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图像处理（重建）软件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图像显示软件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定量分析软件（SUV，VOI等）</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校正软件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质量控制软件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NEMA测试软件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3D迭代重建软件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CT应用软件</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图像采集软件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图像处理（重建）软件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图像显示软件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图像分析软件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校正软件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质量控制软件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辐射剂量计算软件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低剂量软件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自动剂量调节软件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PET-CT应用软件</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同机图像融合软件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异机图像融合软件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图像处理软件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图像显示软件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图像分析软件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校正软件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质量控制软件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图像传输软件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高级临床应用功能</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快速扫描高级功能</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3D 肿瘤勾画软件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智能化全身变速扫描组件</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高清重建技术</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GE 提供 Q.Clear,飞利浦提供 Astonish HD，联影提供 HYPER UVT 重建技术。其它品牌需提供 同等或更高档次功能。</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神经分析软件包</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心脏分析软件包</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SPECT 融合分析功能</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PET-MR 异机融合分析功能</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低剂量采集技术</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高级临床应用功能（单独报价，包含在投标 总价内，可核减）</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一键式心脏处理技术</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多模态肿瘤评估软件包</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独立心电门控技术</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PET 超高清重建功能</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选配设备（单独报价，计入投标总价，可核减）</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进口放疗激光定位灯 1 套（3 个点）</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进口放疗定位平板床 1 台</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b/>
                <w:bCs/>
                <w:i w:val="0"/>
                <w:iCs w:val="0"/>
                <w:color w:val="000000"/>
                <w:kern w:val="0"/>
                <w:sz w:val="22"/>
                <w:szCs w:val="22"/>
                <w:u w:val="none"/>
                <w:lang w:val="en-US" w:eastAsia="zh-CN" w:bidi="ar"/>
              </w:rPr>
              <w:t>售后服务</w:t>
            </w:r>
          </w:p>
        </w:tc>
        <w:tc>
          <w:tcPr>
            <w:tcW w:w="1380" w:type="dxa"/>
            <w:vAlign w:val="center"/>
          </w:tcPr>
          <w:p>
            <w:pPr>
              <w:jc w:val="center"/>
              <w:rPr>
                <w:rFonts w:ascii="仿宋" w:hAnsi="仿宋" w:eastAsia="仿宋"/>
                <w:b w:val="0"/>
                <w:bCs/>
                <w:szCs w:val="21"/>
              </w:rPr>
            </w:pP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卖方负责设备到货搬运和安装就位（由此产 生的费用由卖方承担）。卖方负责机房结构、 辐射屏蔽、电源、线路等技术参数的设计， 并提供图纸，以符合装机要求。卖方应派遣 有经验工程师对设备进行的安装和调试，确 保安装质量达到产品出厂技术标准。</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left"/>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提供整机免费保修，保修期自设备安装完毕， 双方签署验收文件后开始计算。保修期间要确 保系统的正常运行，保证全年开机率(按 365 天/年计算)不低于 95%，如达不到此标准，需 按 1：3（停机一天延长三天）天数延长，延 长期中出现停机按同样比例要求延长保修期。</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≥1 年（包括晶体、PET 探测器、 CT 探测器、球管等），且必须 提供由制造商出具的售后服务 承诺书。</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保修期满后整机年保修价格</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≤3%投标总价（整机保修，除 晶体、CT 球管之外）；≤5%投 标总价（整机保修，除晶体外）； ≤6%投标总价（整机保修）； 且必须在由制造商出具的售后 服务承诺书中承诺保修期满后 的整机年保修价格不超过上述 约定比例，具体年保修价格可 在约定范围内由买卖双方进行 协商。（年保修价格的计算依 据包含进口环节税）</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left"/>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保修期内每年免费提供维护保养（PM）≥4 次，并向买方提供标准维护保养报告</w:t>
            </w:r>
          </w:p>
        </w:tc>
        <w:tc>
          <w:tcPr>
            <w:tcW w:w="1380"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left"/>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设有专用报修电话，保证在接到设备故障报修 通知后，维修工程师 4 小时内响应，8 小时内 到达现场检修，保修期内外（包括休息日和节 假日）均能派出维修工程师到达现场维修。</w:t>
            </w:r>
          </w:p>
        </w:tc>
        <w:tc>
          <w:tcPr>
            <w:tcW w:w="1380"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left"/>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提供晶体、PET 探测器、CT 探测器、球管等 详细零配件价格清单及优惠折扣价格。</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left"/>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卖方应免费对买方操作、维修人员进行≥2 年（3 次/年）的整套设备操作、维修、检测等内容的 技术培训。随机提供操作说明书(中英文)及 维 修保养说明书，并提供专用维修工具。</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left"/>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软件终身免费升级及开放，所投设备终身免 费软件升级。保修期内免费提供所有软件升 级所需配套硬件设施，标书中要求的软件功 能终身免费开放，且必须在由制造商出具的 售后服务承诺书中体现本条款。</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left"/>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免费提供设备远程维修支持</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left"/>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维修网点分布（列出详细地址、联系电话、 联系人、工程师数量）</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left"/>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国内备件库详细地址、联系电话、联系人、 备件总值（美元）</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left"/>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终身维修服务，保证零配件供给≥10 年</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left"/>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若本设备需与买方其他系统进行联网对接或 物联网应用，卖方需按买方要求免费开放设 备网络端口、通讯与数据传输端口协议，并 承诺无条件配合进行联网调试。</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其他配置</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投标机型进入中国市场时间（年）</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投标机型装机量</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国内（台）</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vAlign w:val="bottom"/>
          </w:tcPr>
          <w:p>
            <w:pPr>
              <w:keepNext w:val="0"/>
              <w:keepLines w:val="0"/>
              <w:widowControl/>
              <w:suppressLineNumbers w:val="0"/>
              <w:jc w:val="center"/>
              <w:textAlignment w:val="bottom"/>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国外（台）</w:t>
            </w:r>
          </w:p>
        </w:tc>
        <w:tc>
          <w:tcPr>
            <w:tcW w:w="1380" w:type="dxa"/>
            <w:vAlign w:val="center"/>
          </w:tcPr>
          <w:p>
            <w:pPr>
              <w:keepNext w:val="0"/>
              <w:keepLines w:val="0"/>
              <w:widowControl/>
              <w:suppressLineNumbers w:val="0"/>
              <w:jc w:val="center"/>
              <w:textAlignment w:val="center"/>
              <w:rPr>
                <w:rFonts w:ascii="仿宋" w:hAnsi="仿宋" w:eastAsia="仿宋"/>
                <w:b w:val="0"/>
                <w:bCs/>
                <w:szCs w:val="21"/>
              </w:rPr>
            </w:pPr>
            <w:r>
              <w:rPr>
                <w:rFonts w:hint="eastAsia" w:ascii="宋体" w:hAnsi="宋体" w:eastAsia="宋体" w:cs="宋体"/>
                <w:i w:val="0"/>
                <w:iCs w:val="0"/>
                <w:color w:val="000000"/>
                <w:kern w:val="0"/>
                <w:sz w:val="22"/>
                <w:szCs w:val="22"/>
                <w:u w:val="none"/>
                <w:lang w:val="en-US" w:eastAsia="zh-CN" w:bidi="ar"/>
              </w:rPr>
              <w:t>提供</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2499" w:type="dxa"/>
          </w:tcPr>
          <w:p>
            <w:pPr>
              <w:spacing w:line="320" w:lineRule="exact"/>
              <w:rPr>
                <w:rFonts w:ascii="仿宋" w:hAnsi="仿宋" w:eastAsia="仿宋"/>
                <w:b w:val="0"/>
                <w:bCs/>
                <w:szCs w:val="21"/>
              </w:rPr>
            </w:pPr>
          </w:p>
        </w:tc>
        <w:tc>
          <w:tcPr>
            <w:tcW w:w="1380"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140" w:type="dxa"/>
          </w:tcPr>
          <w:p>
            <w:pPr>
              <w:spacing w:line="320" w:lineRule="exact"/>
              <w:rPr>
                <w:rFonts w:ascii="仿宋" w:hAnsi="仿宋" w:eastAsia="仿宋"/>
                <w:b w:val="0"/>
                <w:bCs/>
                <w:szCs w:val="21"/>
              </w:rPr>
            </w:pPr>
          </w:p>
        </w:tc>
        <w:tc>
          <w:tcPr>
            <w:tcW w:w="645" w:type="dxa"/>
          </w:tcPr>
          <w:p>
            <w:pPr>
              <w:spacing w:line="320" w:lineRule="exact"/>
              <w:rPr>
                <w:rFonts w:ascii="仿宋" w:hAnsi="仿宋" w:eastAsia="仿宋"/>
                <w:b w:val="0"/>
                <w:bCs/>
                <w:szCs w:val="21"/>
              </w:rPr>
            </w:pPr>
          </w:p>
        </w:tc>
        <w:tc>
          <w:tcPr>
            <w:tcW w:w="1477" w:type="dxa"/>
          </w:tcPr>
          <w:p>
            <w:pPr>
              <w:spacing w:line="320" w:lineRule="exact"/>
              <w:rPr>
                <w:rFonts w:ascii="仿宋" w:hAnsi="仿宋" w:eastAsia="仿宋"/>
                <w:b w:val="0"/>
                <w:bCs/>
                <w:szCs w:val="21"/>
              </w:rPr>
            </w:pPr>
          </w:p>
        </w:tc>
        <w:tc>
          <w:tcPr>
            <w:tcW w:w="1853"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BDFE2"/>
    <w:multiLevelType w:val="singleLevel"/>
    <w:tmpl w:val="E2ABDFE2"/>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406696"/>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3</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2022-10-07T02:55:39Z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