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磁共振</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5"/>
        <w:gridCol w:w="1791"/>
        <w:gridCol w:w="2679"/>
        <w:gridCol w:w="1110"/>
        <w:gridCol w:w="675"/>
        <w:gridCol w:w="926"/>
        <w:gridCol w:w="18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26"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1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91"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67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75" w:type="dxa"/>
            <w:vMerge w:val="continue"/>
          </w:tcPr>
          <w:p>
            <w:pPr>
              <w:spacing w:line="320" w:lineRule="exact"/>
              <w:rPr>
                <w:rFonts w:ascii="仿宋" w:hAnsi="仿宋" w:eastAsia="仿宋"/>
                <w:b w:val="0"/>
                <w:bCs/>
                <w:szCs w:val="21"/>
              </w:rPr>
            </w:pPr>
          </w:p>
        </w:tc>
        <w:tc>
          <w:tcPr>
            <w:tcW w:w="926" w:type="dxa"/>
            <w:vMerge w:val="continue"/>
          </w:tcPr>
          <w:p>
            <w:pPr>
              <w:spacing w:line="320" w:lineRule="exact"/>
              <w:rPr>
                <w:rFonts w:ascii="仿宋" w:hAnsi="仿宋" w:eastAsia="仿宋"/>
                <w:b w:val="0"/>
                <w:bCs/>
                <w:szCs w:val="21"/>
              </w:rPr>
            </w:pPr>
          </w:p>
        </w:tc>
        <w:tc>
          <w:tcPr>
            <w:tcW w:w="181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产品认证要求:</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为了保证产品的稳定性和安全性，同时实现全面的临床应用范围，要求各家公司承诺提供具备NMPA/CFDA认证的高端1.5T磁共振系统，所投产品限于Tim 4G、SIGNA、dStream、光梭、NeuMR盛世同等及以上技术平台，投标厂商承诺提供投标截止日最</w:t>
            </w:r>
            <w:r>
              <w:rPr>
                <w:rFonts w:hint="eastAsia" w:ascii="宋体" w:hAnsi="宋体" w:cs="宋体"/>
                <w:b w:val="0"/>
                <w:bCs/>
                <w:color w:val="auto"/>
                <w:kern w:val="0"/>
                <w:szCs w:val="21"/>
                <w:lang w:val="en-US" w:eastAsia="zh-CN"/>
              </w:rPr>
              <w:t>新</w:t>
            </w:r>
            <w:r>
              <w:rPr>
                <w:rFonts w:hint="eastAsia" w:ascii="宋体" w:hAnsi="宋体" w:cs="宋体"/>
                <w:b w:val="0"/>
                <w:bCs/>
                <w:color w:val="auto"/>
                <w:kern w:val="0"/>
                <w:szCs w:val="21"/>
              </w:rPr>
              <w:t>高端应用技术。产品主要部件：各投标机型磁体、梯度线圈、射频线圈作为核心部件必须原厂生产，与磁共振整机为同一品牌。</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产品先进性要求</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投标机型首次获得NMPA/CFDA时间不得</w:t>
            </w:r>
            <w:r>
              <w:rPr>
                <w:rFonts w:hint="eastAsia" w:ascii="宋体" w:hAnsi="宋体" w:cs="宋体"/>
                <w:b w:val="0"/>
                <w:bCs/>
                <w:color w:val="auto"/>
                <w:kern w:val="0"/>
                <w:szCs w:val="21"/>
                <w:lang w:val="en-US" w:eastAsia="zh-CN"/>
              </w:rPr>
              <w:t>早于</w:t>
            </w:r>
            <w:r>
              <w:rPr>
                <w:rFonts w:hint="eastAsia" w:ascii="宋体" w:hAnsi="宋体" w:cs="宋体"/>
                <w:b w:val="0"/>
                <w:bCs/>
                <w:color w:val="auto"/>
                <w:kern w:val="0"/>
                <w:szCs w:val="21"/>
              </w:rPr>
              <w:t>2018年1月1日。</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磁体</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lang w:val="en-US" w:eastAsia="zh-CN"/>
              </w:rPr>
              <w:t>磁场强度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1.5T</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磁场类型</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超导</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匀场方式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主动匀场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有</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被动匀场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有</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高阶匀场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有</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屏蔽方式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主动屏蔽+抗外界电磁干扰屏蔽技术</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5高斯线范围</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≤2.5X4.0 m</w:t>
            </w:r>
            <w:r>
              <w:rPr>
                <w:rFonts w:hint="eastAsia" w:ascii="宋体" w:hAnsi="宋体" w:cs="宋体"/>
                <w:b w:val="0"/>
                <w:bCs/>
                <w:color w:val="auto"/>
                <w:kern w:val="0"/>
                <w:szCs w:val="21"/>
                <w:vertAlign w:val="superscript"/>
              </w:rPr>
              <w:t>2</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磁场稳定度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≤0.1ppm／</w:t>
            </w:r>
            <w:r>
              <w:rPr>
                <w:rFonts w:hint="eastAsia" w:ascii="宋体" w:hAnsi="宋体" w:cs="宋体"/>
                <w:b w:val="0"/>
                <w:bCs/>
                <w:color w:val="auto"/>
                <w:kern w:val="0"/>
                <w:szCs w:val="21"/>
                <w:lang w:val="en-US" w:eastAsia="zh-CN"/>
              </w:rPr>
              <w:t>小时</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磁场均匀度(TYPICAL典型值)</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自报（注明详细测量方法）</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50cm DSV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2.4</w:t>
            </w:r>
            <w:r>
              <w:rPr>
                <w:rFonts w:hint="eastAsia" w:ascii="宋体" w:hAnsi="宋体" w:cs="宋体"/>
                <w:b w:val="0"/>
                <w:bCs/>
                <w:color w:val="auto"/>
                <w:kern w:val="0"/>
                <w:szCs w:val="21"/>
              </w:rPr>
              <w:t>ppm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40cm DSV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w:t>
            </w:r>
            <w:r>
              <w:rPr>
                <w:rFonts w:hint="eastAsia" w:ascii="宋体" w:hAnsi="宋体" w:cs="宋体"/>
                <w:b w:val="0"/>
                <w:bCs/>
                <w:color w:val="auto"/>
                <w:kern w:val="0"/>
                <w:szCs w:val="21"/>
                <w:lang w:val="en-US" w:eastAsia="zh-CN"/>
              </w:rPr>
              <w:t>35</w:t>
            </w:r>
            <w:r>
              <w:rPr>
                <w:rFonts w:hint="eastAsia" w:ascii="宋体" w:hAnsi="宋体" w:cs="宋体"/>
                <w:b w:val="0"/>
                <w:bCs/>
                <w:color w:val="auto"/>
                <w:kern w:val="0"/>
                <w:szCs w:val="21"/>
              </w:rPr>
              <w:t>ppm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30cm DSV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≤0.15ppm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20cm DSV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≤0.0</w:t>
            </w:r>
            <w:r>
              <w:rPr>
                <w:rFonts w:hint="eastAsia" w:ascii="宋体" w:hAnsi="宋体" w:cs="宋体"/>
                <w:b w:val="0"/>
                <w:bCs/>
                <w:color w:val="auto"/>
                <w:kern w:val="0"/>
                <w:szCs w:val="21"/>
                <w:lang w:val="en-US" w:eastAsia="zh-CN"/>
              </w:rPr>
              <w:t>4</w:t>
            </w:r>
            <w:r>
              <w:rPr>
                <w:rFonts w:hint="eastAsia" w:ascii="宋体" w:hAnsi="宋体" w:cs="宋体"/>
                <w:b w:val="0"/>
                <w:bCs/>
                <w:color w:val="auto"/>
                <w:kern w:val="0"/>
                <w:szCs w:val="21"/>
              </w:rPr>
              <w:t>ppm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10cm DSV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≤0.0</w:t>
            </w:r>
            <w:r>
              <w:rPr>
                <w:rFonts w:hint="eastAsia" w:ascii="宋体" w:hAnsi="宋体" w:cs="宋体"/>
                <w:b w:val="0"/>
                <w:bCs/>
                <w:color w:val="auto"/>
                <w:kern w:val="0"/>
                <w:szCs w:val="21"/>
                <w:lang w:val="en-US" w:eastAsia="zh-CN"/>
              </w:rPr>
              <w:t>1</w:t>
            </w:r>
            <w:r>
              <w:rPr>
                <w:rFonts w:hint="eastAsia" w:ascii="宋体" w:hAnsi="宋体" w:cs="宋体"/>
                <w:b w:val="0"/>
                <w:bCs/>
                <w:color w:val="auto"/>
                <w:kern w:val="0"/>
                <w:szCs w:val="21"/>
              </w:rPr>
              <w:t>ppm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磁体长度(cm)</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w:t>
            </w:r>
            <w:r>
              <w:rPr>
                <w:rFonts w:hint="eastAsia" w:ascii="宋体" w:hAnsi="宋体" w:cs="宋体"/>
                <w:b w:val="0"/>
                <w:bCs/>
                <w:color w:val="auto"/>
                <w:kern w:val="0"/>
                <w:szCs w:val="21"/>
                <w:lang w:val="en-US" w:eastAsia="zh-CN"/>
              </w:rPr>
              <w:t>72</w:t>
            </w:r>
            <w:r>
              <w:rPr>
                <w:rFonts w:hint="eastAsia" w:ascii="宋体" w:hAnsi="宋体" w:cs="宋体"/>
                <w:b w:val="0"/>
                <w:bCs/>
                <w:color w:val="auto"/>
                <w:kern w:val="0"/>
                <w:szCs w:val="21"/>
              </w:rPr>
              <w:t>cm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磁体重量（包含液氦）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hint="eastAsia" w:ascii="宋体" w:hAnsi="宋体" w:cs="宋体"/>
                <w:b w:val="0"/>
                <w:bCs/>
                <w:color w:val="auto"/>
                <w:kern w:val="0"/>
                <w:szCs w:val="21"/>
                <w:lang w:val="en-US" w:eastAsia="zh-CN"/>
              </w:rPr>
              <w:t>532</w:t>
            </w:r>
            <w:r>
              <w:rPr>
                <w:rFonts w:hint="eastAsia" w:ascii="宋体" w:hAnsi="宋体" w:cs="宋体"/>
                <w:b w:val="0"/>
                <w:bCs/>
                <w:color w:val="auto"/>
                <w:kern w:val="0"/>
                <w:szCs w:val="21"/>
              </w:rPr>
              <w:t>0kg</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磁体内径（患者检查孔道内径）</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7</w:t>
            </w:r>
            <w:r>
              <w:rPr>
                <w:rFonts w:hint="eastAsia" w:ascii="宋体" w:hAnsi="宋体" w:cs="宋体"/>
                <w:b w:val="0"/>
                <w:bCs/>
                <w:color w:val="auto"/>
                <w:kern w:val="0"/>
                <w:szCs w:val="21"/>
              </w:rPr>
              <w:t>0cm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4K冷头或零液氦消耗技术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xml:space="preserve">液氦补充周期 </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≥4年（4年内免费补充）</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梯度系统</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梯度工作方式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最大单轴梯度场强（非有效，X、Y、Z三轴分别标注）</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≥33mT/m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梯度切换率（非有效，X、Y、Z三轴分别标注）</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w:t>
            </w:r>
            <w:r>
              <w:rPr>
                <w:rFonts w:hint="eastAsia" w:ascii="宋体" w:hAnsi="宋体" w:cs="宋体"/>
                <w:b w:val="0"/>
                <w:bCs/>
                <w:color w:val="auto"/>
                <w:kern w:val="0"/>
                <w:szCs w:val="21"/>
                <w:lang w:val="en-US" w:eastAsia="zh-CN"/>
              </w:rPr>
              <w:t>0</w:t>
            </w:r>
            <w:r>
              <w:rPr>
                <w:rFonts w:hint="eastAsia" w:ascii="宋体" w:hAnsi="宋体" w:cs="宋体"/>
                <w:b w:val="0"/>
                <w:bCs/>
                <w:color w:val="auto"/>
                <w:kern w:val="0"/>
                <w:szCs w:val="21"/>
              </w:rPr>
              <w:t>0mT/m/ms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梯度最快最短爬升时间</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≤0.28ms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梯度工作方式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非共振式</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最高梯度性能时X轴、Y轴扫描野</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≥50cm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最高梯度性能时Z轴扫描野</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≥50cm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射频系统</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射频放大器功率</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w:t>
            </w:r>
            <w:r>
              <w:rPr>
                <w:rFonts w:hint="eastAsia" w:ascii="宋体" w:hAnsi="宋体" w:cs="宋体"/>
                <w:b w:val="0"/>
                <w:bCs/>
                <w:color w:val="auto"/>
                <w:kern w:val="0"/>
                <w:szCs w:val="21"/>
                <w:lang w:val="en-US" w:eastAsia="zh-CN"/>
              </w:rPr>
              <w:t>2</w:t>
            </w:r>
            <w:r>
              <w:rPr>
                <w:rFonts w:hint="eastAsia" w:ascii="宋体" w:hAnsi="宋体" w:cs="宋体"/>
                <w:b w:val="0"/>
                <w:bCs/>
                <w:color w:val="auto"/>
                <w:kern w:val="0"/>
                <w:szCs w:val="21"/>
              </w:rPr>
              <w:t>KW</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实时数字化射频能量监控</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实时数字化射频能量短期积累监控</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实时数字化射频能量长期积累监控</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射频同时、并行终端接收通道数配置数量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射频同时、并行终端独立接收通道数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≥24通道或无限制通道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射频同时、并行A/D转换器个数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≥33个</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线圈单元具有一一对应的前置放大器</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并行采集技术平台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每通道同时并行采样最大采样率</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≥1MHz</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发射带宽</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≥1300KHz</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接收动态范围</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≥140dB/Hz</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最大接收信号分辨率</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≥32bits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采样分辨率</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≤50ns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全数字化射频系统</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射频接收放大器噪音水平</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≤0.5dB</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用户可调节接收带宽技术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正交体线圈</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所有线圈免调谐</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表面线圈：以下线圈要求提供专用独立线圈，不得采取组合方式加以实现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脊柱线圈，1套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hint="eastAsia" w:ascii="宋体" w:hAnsi="宋体" w:cs="宋体"/>
                <w:b w:val="0"/>
                <w:bCs/>
                <w:color w:val="auto"/>
                <w:kern w:val="0"/>
                <w:szCs w:val="21"/>
                <w:lang w:val="en-US" w:eastAsia="zh-CN"/>
              </w:rPr>
              <w:t>18</w:t>
            </w:r>
            <w:r>
              <w:rPr>
                <w:rFonts w:hint="eastAsia" w:ascii="宋体" w:hAnsi="宋体" w:cs="宋体"/>
                <w:b w:val="0"/>
                <w:bCs/>
                <w:color w:val="auto"/>
                <w:kern w:val="0"/>
                <w:szCs w:val="21"/>
              </w:rPr>
              <w:t>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体部线圈（1），1套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≥12通道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体部线圈（2），1套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≥12通道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大、小柔性线圈，各1套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≥4通道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头颈联合线圈，1套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≥16通道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膝关节线圈（不可用其他柔软线圈替代），1套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12</w:t>
            </w:r>
            <w:r>
              <w:rPr>
                <w:rFonts w:hint="eastAsia" w:ascii="宋体" w:hAnsi="宋体" w:cs="宋体"/>
                <w:b w:val="0"/>
                <w:bCs/>
                <w:color w:val="auto"/>
                <w:kern w:val="0"/>
                <w:szCs w:val="21"/>
              </w:rPr>
              <w:t>通道</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其它线圈：</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肩关节线圈、双乳腺线圈、心脏线圈、下肢血管线圈、足及踝关节线圈，要求提供专用独立线圈</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专用肩关节线圈（不可用其他柔软线圈替代），1套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≥8通道，并请列出价格，包含在投标总价内</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专用双乳腺线圈 ，1套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≥8通道，并请列出价格，包含在投标总价内</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专用心脏线圈，1套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≥16通道，并请列出价格，不计入投标总价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专用下肢血管线圈，1套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≥16通道，并请列出价格，不计入投标总价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专用足及踝关节线圈（不可用其他柔软线圈替代），1套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厂家自报通道数，请列出价格，包含在投标总价内</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降噪措施</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梯度降噪技术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专用防磁耳机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一套</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声阻尼材料技术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脉冲序列及扫描技术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厂家自报所能够提供的自旋回波、快速自旋回波扫描系列及其延伸扫描系列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快速自旋回波（FSE）最短TR（采集矩阵256 × 256）</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≤7.8ms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快速自旋回波（FSE）最短TE（采集矩阵256 × 256）</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w:t>
            </w:r>
            <w:r>
              <w:rPr>
                <w:rFonts w:ascii="宋体" w:hAnsi="宋体" w:cs="宋体"/>
                <w:b w:val="0"/>
                <w:bCs/>
                <w:color w:val="auto"/>
                <w:kern w:val="0"/>
                <w:szCs w:val="21"/>
              </w:rPr>
              <w:t>8</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快速自旋回波最短TR（128×128采集矩阵）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≤6.</w:t>
            </w:r>
            <w:r>
              <w:rPr>
                <w:rFonts w:ascii="宋体" w:hAnsi="宋体" w:cs="宋体"/>
                <w:b w:val="0"/>
                <w:bCs/>
                <w:color w:val="auto"/>
                <w:kern w:val="0"/>
                <w:szCs w:val="21"/>
              </w:rPr>
              <w:t>8</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快速自旋回波最短TE（128×128采集矩阵）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2.0</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2D自旋回波最短TR时间（128采集矩阵）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≤6.8ms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2D自旋回波最短TE时间（128采集矩阵）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w:t>
            </w:r>
            <w:r>
              <w:rPr>
                <w:rFonts w:ascii="宋体" w:hAnsi="宋体" w:cs="宋体"/>
                <w:b w:val="0"/>
                <w:bCs/>
                <w:color w:val="auto"/>
                <w:kern w:val="0"/>
                <w:szCs w:val="21"/>
              </w:rPr>
              <w:t>4</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厂家自报所能够提供的梯度回波、快速梯度回波扫描系列及其延伸扫描系列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2D快速梯度回波最短TR（采集矩阵128 x 128）</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≤2.3ms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2D快速梯度回波最短TE（采集矩阵128 × 128）</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w:t>
            </w:r>
            <w:r>
              <w:rPr>
                <w:rFonts w:ascii="宋体" w:hAnsi="宋体" w:cs="宋体"/>
                <w:b w:val="0"/>
                <w:bCs/>
                <w:color w:val="auto"/>
                <w:kern w:val="0"/>
                <w:szCs w:val="21"/>
              </w:rPr>
              <w:t>4</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3D GRE最短TR时间（256×256采集矩阵）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1.2</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3D GRE最短TE时间（256×256采集矩阵）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w:t>
            </w:r>
            <w:r>
              <w:rPr>
                <w:rFonts w:ascii="宋体" w:hAnsi="宋体" w:cs="宋体"/>
                <w:b w:val="0"/>
                <w:bCs/>
                <w:color w:val="auto"/>
                <w:kern w:val="0"/>
                <w:szCs w:val="21"/>
              </w:rPr>
              <w:t>5</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厂家自报所能够提供的EPI扫描系列及其延伸扫描系列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EPI最短TR时间（128采集矩阵）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5</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EPI最短TE时间（128采集矩阵）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EPI最短TR时间（256采集矩阵）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5</w:t>
            </w:r>
            <w:r>
              <w:rPr>
                <w:rFonts w:hint="eastAsia" w:ascii="宋体" w:hAnsi="宋体" w:cs="宋体"/>
                <w:b w:val="0"/>
                <w:bCs/>
                <w:color w:val="auto"/>
                <w:kern w:val="0"/>
                <w:szCs w:val="21"/>
              </w:rPr>
              <w:t>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EPI最短TE时间（256采集矩阵）</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≤2ms</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FSE最大回波链长度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≥512</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EPI最大回波链长度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≥255</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采集弥散加权系数B值</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≥10000</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厂家自报所能够提供的反转恢复扫描系列及其延伸扫描系列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脂肪抑制技术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化学饱和(Chem Sat)</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水和脂肪分离(Water &amp; fat separation)</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选择性水和脂肪激发(Selective water and fat excitation)</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反转恢复脂肪抑制技术（STIR）</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水抑制成像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T1水抑制成像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T2水抑制成像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门控(触发)</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心电门控及触发</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呼吸门控及触发</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外周门控</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前瞻性(Prospective)</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回顾性(Retrospective)</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2D稳态快速扫描技术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3D稳态快速扫描技术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2D、3D、多层扫描技术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spacing w:val="-6"/>
                <w:kern w:val="0"/>
                <w:szCs w:val="21"/>
              </w:rPr>
              <w:t>磁敏感加权成像技术及其后处理和定量分析软件（厂家自报名称）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磁共振水成像（MRCP、MRU、内耳水成像、MRM等）</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厂商自报其他特殊成像系列：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降噪脉冲序列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各种加速扫描序列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特殊的K空间填充和数据处理方法，以加快扫描采集速度等技术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厂商注明具体方法和技术</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K空间过采样运动伪影校正扫描技术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并行成像扫描最大加速因子数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t>
            </w:r>
            <w:r>
              <w:rPr>
                <w:rFonts w:ascii="宋体" w:hAnsi="宋体" w:cs="宋体"/>
                <w:b w:val="0"/>
                <w:bCs/>
                <w:color w:val="auto"/>
                <w:kern w:val="0"/>
                <w:szCs w:val="21"/>
              </w:rPr>
              <w:t>3</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二维最薄扫描层厚</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≤0.1mm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三维最薄扫描层厚</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≤0.05mm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最小扫描视野(FOV)</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≤1cm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最大采集矩阵(max acquisition matrix)</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1024X1024</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K空间快门技术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腹部快速动态增强容积扫描技术及其后处理软件</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临床应用软件</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3D后处理功能软件</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MPR</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SSD</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MIP</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VR</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交互成像技术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弥散成像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弥散成像ADC图</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弥散张量成像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白质纤维束追踪技术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全身DWI成像及其后处理和拼接、融合软件</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灌注成像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磁共振血管造影技术(MRA)</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MOTSA</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TONE (Ramped excitation)</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MTC</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TOF 2D/3D</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PC 2D/3D</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PC Cine</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CE-MRA</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Whole body peripheral MRA</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Bolus tracking</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具备。提供投标机型的软件操作过程的全流程界面的证明图片和临床病例证明材料。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自动步进血管造影技术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具备。提供投标机型的软件操作过程的全流程界面的证明图片和临床病例证明材料。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无造影剂MRA技术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具备体部、外周无造影剂MRA技术，提供投标机型的软件操作过程的全流程界面的证明图片和临床病例证明材料。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高级血管分析软件包</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具备。提供投标机型的软件操作过程的全流程界面的证明图片和临床病例证明材料。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心脏成像软件包：</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心脏功能Cardiac function  (EF wall motion etc.)</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向量心电图</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常规形态学成像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回波分享技术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快速梯度回波/快速心脏采集</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氢质子频谱成像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高级频谱分析软件包</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STEAM技术(激励回波采集法)或PRESS技术(自旋回波)</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单体素频谱</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多体素频谱</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2D频谱成像（2DMRSI）</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3D频谱成像(3DMRSI)</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2D多层频谱成像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乳腺频谱成像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前列腺波谱成像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频谱成像自动化高级高序匀场技术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频谱图透明覆盖技术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容积快速成像技术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容积快速多对比动态成像技术</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xml:space="preserve">不打药全脑灌注成像(3D ASL) </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具备。提供投标机型的软件操作过程的全流程界面的证明图片和临床病例证明材料。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BOLD脑功能成像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计入投标总价，请单独报价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T2 map</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压缩感知技术（厂家自报名称）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提供，提供软件操作界面的证明图片。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脂肪定量技术（厂家自报名称）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提供，提供软件操作界面的证明图片和临床病例证明材料。</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检查床</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自动步进</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水平位移精度</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≤±1mm</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扫描安全性保障措施</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厂家自报</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在紧急情况下可将扫描床迅速退出。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机架两侧均有床旁控制系统操作按钮，可控制扫描床的运动和扫描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主控计算机系统</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主机型号</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厂商自报</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操作系统名称</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厂商自报</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内存</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≥4GB</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硬盘容量</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≥300GB</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监视器</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≥19"液晶医用显示器1280×1024</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spacing w:val="-8"/>
                <w:kern w:val="0"/>
                <w:szCs w:val="21"/>
              </w:rPr>
              <w:t>DICOM 3.0标准接口： （传输/接收/打印/存档/查询/工作表/MPPS等）</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spacing w:val="-8"/>
                <w:kern w:val="0"/>
                <w:szCs w:val="21"/>
              </w:rPr>
              <w:t>符合HL7标准，可与PACS/RIS/HIS通讯，通过IHE测试</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激光相机DICOM接口</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提供原厂最高版本专用高级影像后处理工作站一套</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具备，含总价内，单独报价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后处理工作站的软件功能与主机配备的一致</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水冷机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磁共振RF屏蔽</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机房专用中央精密空调</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MR专用高压注射器</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具备，含总价内，单独报价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保修及维修</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　</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整机免费保修期（含所有零部件，包括磁体、液氦、制冷系统、线圈和独立工作站等。）</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1年，并提供每年保修报价</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保修期外的整机年保修价格（单独以百分比形式报价，不包含在投标总价中）</w:t>
            </w:r>
          </w:p>
        </w:tc>
        <w:tc>
          <w:tcPr>
            <w:tcW w:w="2679" w:type="dxa"/>
            <w:vAlign w:val="center"/>
          </w:tcPr>
          <w:p>
            <w:pPr>
              <w:widowControl/>
              <w:adjustRightInd w:val="0"/>
              <w:snapToGrid w:val="0"/>
              <w:jc w:val="left"/>
              <w:rPr>
                <w:rFonts w:hint="eastAsia" w:ascii="宋体" w:hAnsi="宋体" w:cs="宋体"/>
                <w:b w:val="0"/>
                <w:bCs/>
                <w:color w:val="auto"/>
                <w:kern w:val="0"/>
                <w:szCs w:val="21"/>
              </w:rPr>
            </w:pPr>
            <w:r>
              <w:rPr>
                <w:rFonts w:hint="eastAsia" w:ascii="宋体" w:hAnsi="宋体" w:cs="宋体"/>
                <w:b w:val="0"/>
                <w:bCs/>
                <w:color w:val="auto"/>
                <w:kern w:val="0"/>
                <w:szCs w:val="21"/>
              </w:rPr>
              <w:t>提供保修期后的整机年保修价格（分全保、人工保等类型），并注明保修详细内容。作为重要评标依据</w:t>
            </w:r>
          </w:p>
          <w:p>
            <w:pPr>
              <w:widowControl/>
              <w:adjustRightInd w:val="0"/>
              <w:snapToGrid w:val="0"/>
              <w:jc w:val="left"/>
              <w:rPr>
                <w:rFonts w:hint="eastAsia" w:ascii="宋体" w:hAnsi="宋体" w:cs="宋体"/>
                <w:b w:val="0"/>
                <w:bCs/>
                <w:color w:val="auto"/>
                <w:kern w:val="0"/>
                <w:szCs w:val="21"/>
              </w:rPr>
            </w:pPr>
          </w:p>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＜8%投标总价（含液氦、各类线圈、磁共振制冷系统、水冷机等，不含屏蔽及空调）</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保修期内的开机率（按365天/年计）</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≥95%</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投标厂家必须在安徽省设有维修站点及维修工程师</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提供，并在售后服务承诺中体现</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单次人工维修价格</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出保修期后，单次人工费用≤2000元人民币，作为重要评标依据</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零部件更换及线圈价格</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提供所投设备系统备品备件、线圈明细清单及价格</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维修工时费计算方法及价格</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至少提供按小时计费和按故障点计费两种方式，用户可自行选择。</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维修要求</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必须开放维修密码，要求提供完整的技术手册及线路图，并提供基本维修手册</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维修说明</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提供的维修、保修合同文本与本次招标文件相关条款不符之处，以本招标文件为准。</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软件</w:t>
            </w:r>
            <w:r>
              <w:rPr>
                <w:rFonts w:hint="eastAsia" w:ascii="宋体" w:hAnsi="宋体" w:cs="宋体"/>
                <w:b w:val="0"/>
                <w:bCs/>
                <w:color w:val="auto"/>
                <w:kern w:val="0"/>
                <w:szCs w:val="21"/>
                <w:lang w:val="en-US" w:eastAsia="zh-CN"/>
              </w:rPr>
              <w:t>终身</w:t>
            </w:r>
            <w:r>
              <w:rPr>
                <w:rFonts w:hint="eastAsia" w:ascii="宋体" w:hAnsi="宋体" w:cs="宋体"/>
                <w:b w:val="0"/>
                <w:bCs/>
                <w:color w:val="auto"/>
                <w:kern w:val="0"/>
                <w:szCs w:val="21"/>
              </w:rPr>
              <w:t>免费升级开放承诺：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所投设备终身免费软件升级，保修期内免费提供所有软件升级所需配套硬件设施，并对标书中要求的软件功能终身免费开放，且必须在由制造商出具的售后服务承诺书中体现本条款</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所投机型具备的全部商用软件承诺：</w:t>
            </w:r>
          </w:p>
        </w:tc>
        <w:tc>
          <w:tcPr>
            <w:tcW w:w="2679" w:type="dxa"/>
            <w:vAlign w:val="center"/>
          </w:tcPr>
          <w:p>
            <w:pPr>
              <w:widowControl/>
              <w:adjustRightInd w:val="0"/>
              <w:snapToGrid w:val="0"/>
              <w:jc w:val="left"/>
              <w:rPr>
                <w:rFonts w:ascii="仿宋" w:hAnsi="仿宋" w:eastAsia="仿宋"/>
                <w:b w:val="0"/>
                <w:bCs/>
                <w:szCs w:val="21"/>
              </w:rPr>
            </w:pPr>
            <w:r>
              <w:rPr>
                <w:rFonts w:hint="eastAsia" w:ascii="宋体" w:hAnsi="宋体" w:cs="宋体"/>
                <w:b w:val="0"/>
                <w:bCs/>
                <w:color w:val="auto"/>
                <w:kern w:val="0"/>
                <w:szCs w:val="21"/>
              </w:rPr>
              <w:t>全部提供，且必须在由制造商出具的承诺书中体现本条款</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vAlign w:val="center"/>
          </w:tcPr>
          <w:p>
            <w:pPr>
              <w:widowControl/>
              <w:adjustRightInd w:val="0"/>
              <w:snapToGrid w:val="0"/>
              <w:jc w:val="left"/>
              <w:rPr>
                <w:rFonts w:ascii="仿宋" w:hAnsi="仿宋" w:eastAsia="仿宋"/>
                <w:b w:val="0"/>
                <w:bCs/>
                <w:szCs w:val="21"/>
              </w:rPr>
            </w:pPr>
          </w:p>
        </w:tc>
        <w:tc>
          <w:tcPr>
            <w:tcW w:w="2679" w:type="dxa"/>
          </w:tcPr>
          <w:p>
            <w:pPr>
              <w:spacing w:line="320" w:lineRule="exact"/>
              <w:rPr>
                <w:rFonts w:ascii="仿宋" w:hAnsi="仿宋" w:eastAsia="仿宋"/>
                <w:b w:val="0"/>
                <w:bCs/>
                <w:szCs w:val="21"/>
              </w:rPr>
            </w:pPr>
            <w:r>
              <w:rPr>
                <w:rFonts w:hint="eastAsia" w:ascii="宋体" w:hAnsi="宋体" w:cs="宋体"/>
                <w:b w:val="0"/>
                <w:bCs/>
                <w:color w:val="auto"/>
                <w:kern w:val="0"/>
                <w:szCs w:val="21"/>
              </w:rPr>
              <w:t>上述技术要求厂家必须完整提供硬件和软件，必须列出配置说明及配置清单</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tcPr>
          <w:p>
            <w:pPr>
              <w:spacing w:line="320" w:lineRule="exact"/>
              <w:rPr>
                <w:rFonts w:ascii="仿宋" w:hAnsi="仿宋" w:eastAsia="仿宋"/>
                <w:b w:val="0"/>
                <w:bCs/>
                <w:szCs w:val="21"/>
              </w:rPr>
            </w:pPr>
          </w:p>
        </w:tc>
        <w:tc>
          <w:tcPr>
            <w:tcW w:w="2679"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791" w:type="dxa"/>
          </w:tcPr>
          <w:p>
            <w:pPr>
              <w:spacing w:line="320" w:lineRule="exact"/>
              <w:rPr>
                <w:rFonts w:ascii="仿宋" w:hAnsi="仿宋" w:eastAsia="仿宋"/>
                <w:b w:val="0"/>
                <w:bCs/>
                <w:szCs w:val="21"/>
              </w:rPr>
            </w:pPr>
          </w:p>
        </w:tc>
        <w:tc>
          <w:tcPr>
            <w:tcW w:w="2679"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110"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926" w:type="dxa"/>
          </w:tcPr>
          <w:p>
            <w:pPr>
              <w:spacing w:line="320" w:lineRule="exact"/>
              <w:rPr>
                <w:rFonts w:ascii="仿宋" w:hAnsi="仿宋" w:eastAsia="仿宋"/>
                <w:b w:val="0"/>
                <w:bCs/>
                <w:szCs w:val="21"/>
              </w:rPr>
            </w:pPr>
          </w:p>
        </w:tc>
        <w:tc>
          <w:tcPr>
            <w:tcW w:w="181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C1482D5"/>
    <w:multiLevelType w:val="singleLevel"/>
    <w:tmpl w:val="2C1482D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EA34DD"/>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2022-10-07T02:49:28Z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