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CT(体检中心)</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2"/>
        <w:gridCol w:w="2086"/>
        <w:gridCol w:w="1725"/>
        <w:gridCol w:w="954"/>
        <w:gridCol w:w="743"/>
        <w:gridCol w:w="1759"/>
        <w:gridCol w:w="17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97"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43"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59"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4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08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72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5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43" w:type="dxa"/>
            <w:vMerge w:val="continue"/>
          </w:tcPr>
          <w:p>
            <w:pPr>
              <w:spacing w:line="320" w:lineRule="exact"/>
              <w:rPr>
                <w:rFonts w:ascii="仿宋" w:hAnsi="仿宋" w:eastAsia="仿宋"/>
                <w:b w:val="0"/>
                <w:bCs/>
                <w:szCs w:val="21"/>
              </w:rPr>
            </w:pPr>
          </w:p>
        </w:tc>
        <w:tc>
          <w:tcPr>
            <w:tcW w:w="1759" w:type="dxa"/>
            <w:vMerge w:val="continue"/>
          </w:tcPr>
          <w:p>
            <w:pPr>
              <w:spacing w:line="320" w:lineRule="exact"/>
              <w:rPr>
                <w:rFonts w:ascii="仿宋" w:hAnsi="仿宋" w:eastAsia="仿宋"/>
                <w:b w:val="0"/>
                <w:bCs/>
                <w:szCs w:val="21"/>
              </w:rPr>
            </w:pPr>
          </w:p>
        </w:tc>
        <w:tc>
          <w:tcPr>
            <w:tcW w:w="1746"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机架</w:t>
            </w:r>
            <w:r>
              <w:rPr>
                <w:rFonts w:ascii="宋体" w:hAnsi="宋体" w:cs="Arial"/>
                <w:color w:val="000000"/>
                <w:szCs w:val="21"/>
              </w:rPr>
              <w:t>系统</w:t>
            </w:r>
          </w:p>
        </w:tc>
        <w:tc>
          <w:tcPr>
            <w:tcW w:w="17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2" w:colLast="2"/>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滑环</w:t>
            </w:r>
            <w:r>
              <w:rPr>
                <w:rFonts w:ascii="宋体" w:hAnsi="宋体" w:cs="Arial"/>
                <w:szCs w:val="21"/>
              </w:rPr>
              <w:t>类型</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低压滑环</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驱动方式</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皮钢带</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机架孔径</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ascii="宋体" w:hAnsi="宋体" w:cs="Arial"/>
                <w:color w:val="000000"/>
                <w:szCs w:val="21"/>
              </w:rPr>
              <w:t>≥</w:t>
            </w:r>
            <w:r>
              <w:rPr>
                <w:rFonts w:hint="eastAsia" w:ascii="宋体" w:hAnsi="宋体" w:cs="Arial"/>
                <w:color w:val="000000"/>
                <w:szCs w:val="21"/>
              </w:rPr>
              <w:t>70cm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机架倾斜</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ascii="宋体" w:hAnsi="宋体" w:cs="Arial"/>
                <w:color w:val="000000"/>
                <w:szCs w:val="21"/>
              </w:rPr>
              <w:t>≥±</w:t>
            </w:r>
            <w:r>
              <w:rPr>
                <w:rFonts w:hint="eastAsia" w:ascii="宋体" w:hAnsi="宋体" w:cs="Arial"/>
                <w:color w:val="000000"/>
                <w:szCs w:val="21"/>
              </w:rPr>
              <w:t>30°，可遥控</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冷却方式</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风冷</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探测器类型</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固态稀土陶瓷探测器</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探测器Z轴排列数</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60</w:t>
            </w:r>
            <w:r>
              <w:rPr>
                <w:rFonts w:hint="eastAsia" w:ascii="宋体" w:hAnsi="宋体" w:cs="Arial"/>
                <w:color w:val="000000"/>
                <w:szCs w:val="21"/>
              </w:rPr>
              <w:t>排</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探测器单元Z轴最小尺寸</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≤0.625mm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探测器Z轴宽度</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40</w:t>
            </w:r>
            <w:r>
              <w:rPr>
                <w:rFonts w:hint="eastAsia" w:ascii="宋体" w:hAnsi="宋体" w:cs="Arial"/>
                <w:color w:val="000000"/>
                <w:szCs w:val="21"/>
              </w:rPr>
              <w:t>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每排探测器单元数量</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≥9</w:t>
            </w:r>
            <w:r>
              <w:rPr>
                <w:rFonts w:ascii="宋体" w:hAnsi="宋体" w:cs="Arial"/>
                <w:szCs w:val="21"/>
              </w:rPr>
              <w:t>00</w:t>
            </w:r>
            <w:r>
              <w:rPr>
                <w:rFonts w:hint="eastAsia" w:ascii="宋体" w:hAnsi="宋体" w:cs="Arial"/>
                <w:szCs w:val="21"/>
              </w:rPr>
              <w:t>个/排</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探测器单元总数</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w:t>
            </w:r>
            <w:r>
              <w:rPr>
                <w:rFonts w:hint="eastAsia" w:ascii="宋体" w:hAnsi="宋体" w:cs="Arial"/>
                <w:szCs w:val="21"/>
                <w:lang w:val="en-US" w:eastAsia="zh-CN"/>
              </w:rPr>
              <w:t>50</w:t>
            </w:r>
            <w:r>
              <w:rPr>
                <w:rFonts w:ascii="宋体" w:hAnsi="宋体" w:cs="Arial"/>
                <w:szCs w:val="21"/>
              </w:rPr>
              <w:t>000</w:t>
            </w:r>
            <w:r>
              <w:rPr>
                <w:rFonts w:hint="eastAsia" w:ascii="宋体" w:hAnsi="宋体" w:cs="Arial"/>
                <w:szCs w:val="21"/>
              </w:rPr>
              <w:t>个</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采样率</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≥4</w:t>
            </w:r>
            <w:r>
              <w:rPr>
                <w:rFonts w:hint="eastAsia" w:ascii="宋体" w:hAnsi="宋体" w:cs="Arial"/>
                <w:szCs w:val="21"/>
                <w:lang w:val="en-US" w:eastAsia="zh-CN"/>
              </w:rPr>
              <w:t>6</w:t>
            </w:r>
            <w:r>
              <w:rPr>
                <w:rFonts w:hint="eastAsia" w:ascii="宋体" w:hAnsi="宋体" w:cs="Arial"/>
                <w:szCs w:val="21"/>
              </w:rPr>
              <w:t>00views/圈</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球管焦点到探测器的距离</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w:t>
            </w:r>
            <w:r>
              <w:rPr>
                <w:rFonts w:ascii="宋体" w:hAnsi="宋体" w:cs="Arial"/>
                <w:color w:val="000000"/>
                <w:szCs w:val="21"/>
              </w:rPr>
              <w:t>1000</w:t>
            </w:r>
            <w:r>
              <w:rPr>
                <w:rFonts w:hint="eastAsia" w:ascii="宋体" w:hAnsi="宋体" w:cs="Arial"/>
                <w:color w:val="000000"/>
                <w:szCs w:val="21"/>
              </w:rPr>
              <w:t>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机架控制面板前后各一套，总计4个</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三维激光定位系统</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机架一体化病人呼吸图形和语音提示系统</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扫描床系统</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ascii="宋体" w:hAnsi="宋体" w:cs="Arial"/>
                <w:szCs w:val="21"/>
              </w:rPr>
              <w:t>扫描床垂直移动范围</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500</w:t>
            </w:r>
            <w:r>
              <w:rPr>
                <w:rFonts w:hint="eastAsia" w:ascii="宋体" w:hAnsi="宋体" w:cs="Arial"/>
                <w:szCs w:val="21"/>
              </w:rPr>
              <w:t>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ascii="宋体" w:hAnsi="宋体" w:cs="Arial"/>
                <w:szCs w:val="21"/>
              </w:rPr>
              <w:t>扫描床水平移动范围</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1800mm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扫描床水平可扫描范围</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w:t>
            </w:r>
            <w:r>
              <w:rPr>
                <w:rFonts w:hint="eastAsia" w:ascii="宋体" w:hAnsi="宋体" w:cs="Arial"/>
                <w:color w:val="000000"/>
                <w:szCs w:val="21"/>
                <w:lang w:val="en-US" w:eastAsia="zh-CN"/>
              </w:rPr>
              <w:t>70</w:t>
            </w:r>
            <w:r>
              <w:rPr>
                <w:rFonts w:hint="eastAsia" w:ascii="宋体" w:hAnsi="宋体" w:cs="Arial"/>
                <w:color w:val="000000"/>
                <w:szCs w:val="21"/>
              </w:rPr>
              <w:t>0</w:t>
            </w:r>
            <w:r>
              <w:rPr>
                <w:rFonts w:hint="eastAsia" w:ascii="宋体" w:hAnsi="宋体" w:cs="Arial"/>
                <w:color w:val="000000"/>
                <w:szCs w:val="21"/>
                <w:lang w:val="en-US" w:eastAsia="zh-CN"/>
              </w:rPr>
              <w:t>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最大水平移动速度</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200</w:t>
            </w:r>
            <w:r>
              <w:rPr>
                <w:rFonts w:hint="eastAsia" w:ascii="宋体" w:hAnsi="宋体" w:cs="Arial"/>
                <w:color w:val="000000"/>
                <w:szCs w:val="21"/>
              </w:rPr>
              <w:t>mm/s</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hAnsi="宋体"/>
                <w:bCs/>
                <w:szCs w:val="21"/>
              </w:rPr>
              <w:t>最小水平移床速度</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≤1.0mm/s</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扫描床水平移动精度</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≤±0.25mm（最大承重）</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扫描床最大承重</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≥205kg</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扫描床附件</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r>
              <w:rPr>
                <w:rFonts w:hint="eastAsia" w:ascii="宋体" w:hAnsi="宋体" w:cs="Arial"/>
                <w:color w:val="000000"/>
                <w:szCs w:val="21"/>
                <w:lang w:eastAsia="zh-CN"/>
              </w:rPr>
              <w:t>，头拖、床垫</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扫描床控制脚踏开关</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X线球管及高压发生器</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球管阳极物理热容量（100%效率，非等效值）</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7.5</w:t>
            </w:r>
            <w:r>
              <w:rPr>
                <w:rFonts w:hint="eastAsia" w:ascii="宋体" w:hAnsi="宋体" w:cs="Arial"/>
                <w:color w:val="000000"/>
                <w:szCs w:val="21"/>
              </w:rPr>
              <w:t>MHU</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阳极最大散热率</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900</w:t>
            </w:r>
            <w:r>
              <w:rPr>
                <w:rFonts w:hint="eastAsia" w:ascii="宋体" w:hAnsi="宋体" w:cs="Arial"/>
                <w:color w:val="000000"/>
                <w:szCs w:val="21"/>
              </w:rPr>
              <w:t>kHU/min</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发生器功率（非等效值）</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75</w:t>
            </w:r>
            <w:r>
              <w:rPr>
                <w:rFonts w:hint="eastAsia" w:ascii="宋体" w:hAnsi="宋体" w:cs="Arial"/>
                <w:color w:val="000000"/>
                <w:szCs w:val="21"/>
              </w:rPr>
              <w:t>kW</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最大球管电压</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≥140kV</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最小球管电压</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8</w:t>
            </w:r>
            <w:r>
              <w:rPr>
                <w:rFonts w:hint="eastAsia" w:ascii="宋体" w:hAnsi="宋体" w:cs="Arial"/>
                <w:color w:val="000000"/>
                <w:szCs w:val="21"/>
              </w:rPr>
              <w:t>0kV</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最大球管电流（非等效值）</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szCs w:val="21"/>
              </w:rPr>
              <w:t>≥</w:t>
            </w:r>
            <w:r>
              <w:rPr>
                <w:rFonts w:hint="eastAsia" w:ascii="宋体" w:hAnsi="宋体" w:cs="Arial"/>
                <w:szCs w:val="21"/>
                <w:lang w:val="en-US" w:eastAsia="zh-CN"/>
              </w:rPr>
              <w:t>660</w:t>
            </w:r>
            <w:r>
              <w:rPr>
                <w:rFonts w:hint="eastAsia" w:ascii="宋体" w:hAnsi="宋体" w:cs="Arial"/>
                <w:szCs w:val="21"/>
              </w:rPr>
              <w:t>mA</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最小球管电流（非等效值）</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≤10mA</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球管大焦点</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w:t>
            </w:r>
            <w:r>
              <w:rPr>
                <w:rFonts w:hint="eastAsia" w:ascii="宋体" w:hAnsi="宋体" w:cs="Arial"/>
                <w:color w:val="000000"/>
                <w:szCs w:val="21"/>
                <w:lang w:val="en-US" w:eastAsia="zh-CN"/>
              </w:rPr>
              <w:t>2</w:t>
            </w:r>
            <w:r>
              <w:rPr>
                <w:rFonts w:hint="eastAsia" w:ascii="宋体" w:hAnsi="宋体" w:cs="Arial"/>
                <w:color w:val="000000"/>
                <w:szCs w:val="21"/>
              </w:rPr>
              <w:t>mm</w:t>
            </w:r>
            <w:r>
              <w:rPr>
                <w:rFonts w:hint="eastAsia" w:ascii="宋体" w:hAnsi="宋体" w:cs="Arial"/>
                <w:color w:val="000000"/>
                <w:szCs w:val="21"/>
                <w:vertAlign w:val="superscript"/>
              </w:rPr>
              <w:t>2</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球管小焦点</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≤0.</w:t>
            </w:r>
            <w:r>
              <w:rPr>
                <w:rFonts w:hint="eastAsia" w:ascii="宋体" w:hAnsi="宋体" w:cs="Arial"/>
                <w:color w:val="000000"/>
                <w:szCs w:val="21"/>
                <w:lang w:val="en-US" w:eastAsia="zh-CN"/>
              </w:rPr>
              <w:t>7</w:t>
            </w:r>
            <w:r>
              <w:rPr>
                <w:rFonts w:hint="eastAsia" w:ascii="宋体" w:hAnsi="宋体" w:cs="Arial"/>
                <w:color w:val="000000"/>
                <w:szCs w:val="21"/>
              </w:rPr>
              <w:t>mm</w:t>
            </w:r>
            <w:r>
              <w:rPr>
                <w:rFonts w:hint="eastAsia" w:ascii="宋体" w:hAnsi="宋体" w:cs="Arial"/>
                <w:color w:val="000000"/>
                <w:szCs w:val="21"/>
                <w:vertAlign w:val="superscript"/>
              </w:rPr>
              <w:t>2</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球管焦点到等中心距离</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≥56cm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球管冷却方式</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风冷</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主控制台计算机</w:t>
            </w:r>
            <w:r>
              <w:rPr>
                <w:rFonts w:ascii="宋体" w:hAnsi="宋体" w:cs="Arial"/>
                <w:color w:val="000000"/>
                <w:szCs w:val="21"/>
              </w:rPr>
              <w:t>系统</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CPU主频</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4</w:t>
            </w:r>
            <w:r>
              <w:rPr>
                <w:rFonts w:hint="eastAsia" w:ascii="宋体" w:hAnsi="宋体" w:cs="Arial"/>
                <w:color w:val="000000"/>
                <w:szCs w:val="21"/>
              </w:rPr>
              <w:t>GHz</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计算机内存</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≥64GB</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计算机硬盘容量</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≥2.0TB</w:t>
            </w:r>
            <w:r>
              <w:rPr>
                <w:rFonts w:hint="eastAsia" w:ascii="宋体" w:hAnsi="宋体" w:cs="Arial"/>
                <w:color w:val="000000"/>
                <w:szCs w:val="21"/>
                <w:lang w:val="en-US" w:eastAsia="zh-CN"/>
              </w:rPr>
              <w:t>×2</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显示器尺寸</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≥24吋</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显示器分辨率</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≥1920×1200</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图像重建速度（512×512矩阵）</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6</w:t>
            </w:r>
            <w:r>
              <w:rPr>
                <w:rFonts w:ascii="宋体" w:hAnsi="宋体" w:cs="Arial"/>
                <w:color w:val="000000"/>
                <w:szCs w:val="21"/>
              </w:rPr>
              <w:t>0</w:t>
            </w:r>
            <w:r>
              <w:rPr>
                <w:rFonts w:hint="eastAsia" w:ascii="宋体" w:hAnsi="宋体" w:cs="Arial"/>
                <w:color w:val="000000"/>
                <w:szCs w:val="21"/>
              </w:rPr>
              <w:t>幅/秒</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标准键盘鼠标</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DVD光盘刻录系统</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USB数据导出功能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标准DICOM3.0接口</w:t>
            </w:r>
          </w:p>
        </w:tc>
        <w:tc>
          <w:tcPr>
            <w:tcW w:w="1725" w:type="dxa"/>
            <w:vAlign w:val="center"/>
          </w:tcPr>
          <w:p>
            <w:pPr>
              <w:spacing w:line="336" w:lineRule="auto"/>
              <w:rPr>
                <w:rFonts w:ascii="宋体" w:hAnsi="宋体" w:cs="Arial"/>
                <w:color w:val="000000"/>
                <w:szCs w:val="21"/>
              </w:rPr>
            </w:pPr>
            <w:r>
              <w:rPr>
                <w:rFonts w:hint="eastAsia" w:ascii="宋体" w:hAnsi="宋体" w:cs="Arial"/>
                <w:color w:val="000000"/>
                <w:szCs w:val="21"/>
              </w:rPr>
              <w:t>具备，同时具备以下功能：</w:t>
            </w:r>
          </w:p>
          <w:p>
            <w:pPr>
              <w:spacing w:line="336" w:lineRule="auto"/>
              <w:rPr>
                <w:rFonts w:ascii="宋体" w:hAnsi="宋体" w:cs="Arial"/>
                <w:color w:val="000000"/>
                <w:szCs w:val="21"/>
              </w:rPr>
            </w:pPr>
            <w:r>
              <w:rPr>
                <w:rFonts w:hint="eastAsia" w:ascii="宋体" w:hAnsi="宋体" w:cs="Arial"/>
                <w:color w:val="000000"/>
                <w:szCs w:val="21"/>
              </w:rPr>
              <w:t>发送／接收</w:t>
            </w:r>
          </w:p>
          <w:p>
            <w:pPr>
              <w:spacing w:line="336" w:lineRule="auto"/>
              <w:rPr>
                <w:rFonts w:ascii="宋体" w:hAnsi="宋体" w:cs="Arial"/>
                <w:color w:val="000000"/>
                <w:szCs w:val="21"/>
              </w:rPr>
            </w:pPr>
            <w:r>
              <w:rPr>
                <w:rFonts w:hint="eastAsia" w:ascii="宋体" w:hAnsi="宋体" w:cs="Arial"/>
                <w:color w:val="000000"/>
                <w:szCs w:val="21"/>
              </w:rPr>
              <w:t>查询／检索</w:t>
            </w:r>
          </w:p>
          <w:p>
            <w:pPr>
              <w:spacing w:line="336" w:lineRule="auto"/>
              <w:rPr>
                <w:rFonts w:ascii="宋体" w:hAnsi="宋体" w:cs="Arial"/>
                <w:color w:val="000000"/>
                <w:szCs w:val="21"/>
              </w:rPr>
            </w:pPr>
            <w:r>
              <w:rPr>
                <w:rFonts w:hint="eastAsia" w:ascii="宋体" w:hAnsi="宋体" w:cs="Arial"/>
                <w:color w:val="000000"/>
                <w:szCs w:val="21"/>
              </w:rPr>
              <w:t>基本打印功能</w:t>
            </w:r>
          </w:p>
          <w:p>
            <w:pPr>
              <w:spacing w:line="336" w:lineRule="auto"/>
              <w:rPr>
                <w:rFonts w:ascii="宋体" w:hAnsi="宋体" w:cs="Arial"/>
                <w:color w:val="000000"/>
                <w:szCs w:val="21"/>
              </w:rPr>
            </w:pPr>
            <w:r>
              <w:rPr>
                <w:rFonts w:hint="eastAsia" w:ascii="宋体" w:hAnsi="宋体" w:cs="Arial"/>
                <w:color w:val="000000"/>
                <w:szCs w:val="21"/>
              </w:rPr>
              <w:t>存储</w:t>
            </w:r>
          </w:p>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网络接口(HIS／RIS)</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自动语言提示功能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自动照相功能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ascii="宋体" w:hAnsi="宋体" w:cs="Arial"/>
                <w:color w:val="000000"/>
                <w:szCs w:val="21"/>
              </w:rPr>
              <w:t>DICOM Modality Worklist</w:t>
            </w:r>
            <w:r>
              <w:rPr>
                <w:rFonts w:hint="eastAsia" w:ascii="宋体" w:hAnsi="宋体" w:cs="Arial"/>
                <w:color w:val="000000"/>
                <w:szCs w:val="21"/>
              </w:rPr>
              <w:t>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激光相机接口</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计算机用不间断电源（UPS）</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具备，要求供电时间≥30分钟</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大幅度降低扫描剂量的全新迭代重建技术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具备（说明应用该迭代技术后剂量降低比例）</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扫描参数和图像质量</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每圈最多扫描层数</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120</w:t>
            </w:r>
            <w:r>
              <w:rPr>
                <w:rFonts w:hint="eastAsia" w:ascii="宋体" w:hAnsi="宋体" w:cs="Arial"/>
                <w:color w:val="000000"/>
                <w:szCs w:val="21"/>
              </w:rPr>
              <w:t>层/360°</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最短扫描时间</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lang w:val="en-US" w:eastAsia="zh-CN"/>
              </w:rPr>
              <w:t>＜</w:t>
            </w:r>
            <w:r>
              <w:rPr>
                <w:rFonts w:hint="eastAsia" w:ascii="宋体" w:hAnsi="宋体" w:cs="Arial"/>
                <w:color w:val="000000"/>
                <w:szCs w:val="21"/>
              </w:rPr>
              <w:t>0.</w:t>
            </w:r>
            <w:r>
              <w:rPr>
                <w:rFonts w:hint="eastAsia" w:ascii="宋体" w:hAnsi="宋体" w:cs="Arial"/>
                <w:color w:val="000000"/>
                <w:szCs w:val="21"/>
                <w:lang w:val="en-US" w:eastAsia="zh-CN"/>
              </w:rPr>
              <w:t>4</w:t>
            </w:r>
            <w:r>
              <w:rPr>
                <w:rFonts w:hint="eastAsia" w:ascii="宋体" w:hAnsi="宋体" w:cs="Arial"/>
                <w:color w:val="000000"/>
                <w:szCs w:val="21"/>
              </w:rPr>
              <w:t>s/360°</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最薄扫描层厚</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≤0.625mm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最薄重建层厚</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≤0.</w:t>
            </w:r>
            <w:r>
              <w:rPr>
                <w:rFonts w:hint="eastAsia" w:ascii="宋体" w:hAnsi="宋体" w:cs="Arial"/>
                <w:color w:val="000000"/>
                <w:szCs w:val="21"/>
                <w:lang w:val="en-US" w:eastAsia="zh-CN"/>
              </w:rPr>
              <w:t>4</w:t>
            </w:r>
            <w:r>
              <w:rPr>
                <w:rFonts w:hint="eastAsia" w:ascii="宋体" w:hAnsi="宋体" w:cs="Arial"/>
                <w:color w:val="000000"/>
                <w:szCs w:val="21"/>
              </w:rPr>
              <w:t>mm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扫描视野</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≥5</w:t>
            </w:r>
            <w:r>
              <w:rPr>
                <w:rFonts w:ascii="宋体" w:hAnsi="宋体" w:cs="Arial"/>
                <w:color w:val="000000"/>
                <w:szCs w:val="21"/>
              </w:rPr>
              <w:t>0</w:t>
            </w:r>
            <w:r>
              <w:rPr>
                <w:rFonts w:hint="eastAsia" w:ascii="宋体" w:hAnsi="宋体" w:cs="Arial"/>
                <w:color w:val="000000"/>
                <w:szCs w:val="21"/>
              </w:rPr>
              <w:t>cm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定位扫描最大长度</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w:t>
            </w:r>
            <w:r>
              <w:rPr>
                <w:rFonts w:hint="eastAsia" w:ascii="宋体" w:hAnsi="宋体" w:cs="Arial"/>
                <w:color w:val="000000"/>
                <w:szCs w:val="21"/>
                <w:lang w:val="en-US" w:eastAsia="zh-CN"/>
              </w:rPr>
              <w:t>7</w:t>
            </w:r>
            <w:r>
              <w:rPr>
                <w:rFonts w:hint="eastAsia" w:ascii="宋体" w:hAnsi="宋体" w:cs="Arial"/>
                <w:color w:val="000000"/>
                <w:szCs w:val="21"/>
              </w:rPr>
              <w:t>0cm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定位扫描宽度</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≥5</w:t>
            </w:r>
            <w:r>
              <w:rPr>
                <w:rFonts w:ascii="宋体" w:hAnsi="宋体" w:cs="Arial"/>
                <w:color w:val="000000"/>
                <w:szCs w:val="21"/>
              </w:rPr>
              <w:t>0</w:t>
            </w:r>
            <w:r>
              <w:rPr>
                <w:rFonts w:hint="eastAsia" w:ascii="宋体" w:hAnsi="宋体" w:cs="Arial"/>
                <w:color w:val="000000"/>
                <w:szCs w:val="21"/>
              </w:rPr>
              <w:t>cm</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最大螺距</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ascii="宋体" w:hAnsi="宋体" w:cs="Arial"/>
                <w:color w:val="000000"/>
                <w:szCs w:val="21"/>
              </w:rPr>
              <w:t>2.0</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单次螺旋连续最长扫描时间</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lang w:val="en-US" w:eastAsia="zh-CN"/>
              </w:rPr>
              <w:t>＞</w:t>
            </w:r>
            <w:r>
              <w:rPr>
                <w:rFonts w:hint="eastAsia" w:ascii="宋体" w:hAnsi="宋体" w:cs="Arial"/>
                <w:color w:val="000000"/>
                <w:szCs w:val="21"/>
              </w:rPr>
              <w:t>1</w:t>
            </w:r>
            <w:r>
              <w:rPr>
                <w:rFonts w:hint="eastAsia" w:ascii="宋体" w:hAnsi="宋体" w:cs="Arial"/>
                <w:color w:val="000000"/>
                <w:szCs w:val="21"/>
                <w:lang w:val="en-US" w:eastAsia="zh-CN"/>
              </w:rPr>
              <w:t>2</w:t>
            </w:r>
            <w:r>
              <w:rPr>
                <w:rFonts w:hint="eastAsia" w:ascii="宋体" w:hAnsi="宋体" w:cs="Arial"/>
                <w:color w:val="000000"/>
                <w:szCs w:val="21"/>
              </w:rPr>
              <w:t>0s</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扫描模式</w:t>
            </w:r>
          </w:p>
        </w:tc>
        <w:tc>
          <w:tcPr>
            <w:tcW w:w="1725" w:type="dxa"/>
            <w:vAlign w:val="center"/>
          </w:tcPr>
          <w:p>
            <w:pPr>
              <w:spacing w:line="336" w:lineRule="auto"/>
              <w:rPr>
                <w:rFonts w:ascii="宋体" w:hAnsi="宋体" w:cs="Arial"/>
                <w:color w:val="000000"/>
                <w:szCs w:val="21"/>
              </w:rPr>
            </w:pPr>
            <w:r>
              <w:rPr>
                <w:rFonts w:hint="eastAsia" w:ascii="宋体" w:hAnsi="宋体" w:cs="Arial"/>
                <w:color w:val="000000"/>
                <w:szCs w:val="21"/>
              </w:rPr>
              <w:t>定位像扫描</w:t>
            </w:r>
          </w:p>
          <w:p>
            <w:pPr>
              <w:spacing w:line="336" w:lineRule="auto"/>
              <w:rPr>
                <w:rFonts w:ascii="宋体" w:hAnsi="宋体" w:cs="Arial"/>
                <w:color w:val="000000"/>
                <w:szCs w:val="21"/>
              </w:rPr>
            </w:pPr>
            <w:r>
              <w:rPr>
                <w:rFonts w:hint="eastAsia" w:ascii="宋体" w:hAnsi="宋体" w:cs="Arial"/>
                <w:color w:val="000000"/>
                <w:szCs w:val="21"/>
              </w:rPr>
              <w:t>轴位扫描</w:t>
            </w:r>
          </w:p>
          <w:p>
            <w:pPr>
              <w:spacing w:line="336" w:lineRule="auto"/>
              <w:rPr>
                <w:rFonts w:ascii="宋体" w:hAnsi="宋体" w:cs="Arial"/>
                <w:color w:val="000000"/>
                <w:szCs w:val="21"/>
              </w:rPr>
            </w:pPr>
            <w:r>
              <w:rPr>
                <w:rFonts w:hint="eastAsia" w:ascii="宋体" w:hAnsi="宋体" w:cs="Arial"/>
                <w:color w:val="000000"/>
                <w:szCs w:val="21"/>
              </w:rPr>
              <w:t>螺旋扫描</w:t>
            </w:r>
          </w:p>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电影扫描</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图像重建矩阵</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≥1024×1024</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高对比度分辨率（空间分辨率）</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w:t>
            </w:r>
            <w:r>
              <w:rPr>
                <w:rFonts w:hint="eastAsia" w:ascii="宋体" w:hAnsi="宋体" w:cs="Arial"/>
                <w:color w:val="000000"/>
                <w:szCs w:val="21"/>
                <w:lang w:val="en-US" w:eastAsia="zh-CN"/>
              </w:rPr>
              <w:t xml:space="preserve">20 </w:t>
            </w:r>
            <w:r>
              <w:rPr>
                <w:rFonts w:hint="eastAsia" w:ascii="宋体" w:hAnsi="宋体" w:cs="Arial"/>
                <w:color w:val="000000"/>
                <w:szCs w:val="21"/>
              </w:rPr>
              <w:t>lp/cm@0%MTF</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低对比度分辨率（密度分辨率）</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≤2mm@0.3%</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噪声</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≤0.</w:t>
            </w:r>
            <w:r>
              <w:rPr>
                <w:rFonts w:hint="eastAsia" w:ascii="宋体" w:hAnsi="宋体" w:cs="Arial"/>
                <w:color w:val="000000"/>
                <w:szCs w:val="21"/>
                <w:lang w:eastAsia="zh-CN"/>
              </w:rPr>
              <w:t>30</w:t>
            </w:r>
            <w:r>
              <w:rPr>
                <w:rFonts w:hint="eastAsia" w:ascii="宋体" w:hAnsi="宋体" w:cs="Arial"/>
                <w:color w:val="000000"/>
                <w:szCs w:val="21"/>
              </w:rPr>
              <w:t>%</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主要应用软件和成像技术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射线硬化伪影抑制技术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color w:val="000000" w:themeColor="text1"/>
              </w:rPr>
              <w:t>骨性伪影抑制</w:t>
            </w:r>
            <w:r>
              <w:rPr>
                <w:rFonts w:hint="eastAsia"/>
                <w:color w:val="000000" w:themeColor="text1"/>
              </w:rPr>
              <w:t>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color w:val="000000" w:themeColor="text1"/>
              </w:rPr>
              <w:t>金属伪影抑制技术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高级图像降噪技术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后颅窝图像优化技术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管电流自动调控技术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配备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儿童专用的扫描协议</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低剂量扫描技术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CT图像减影功能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CT电影显示功能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多平面重建（MPR）</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ascii="宋体" w:hAnsi="宋体"/>
              </w:rPr>
              <w:t>曲面重建</w:t>
            </w:r>
            <w:r>
              <w:rPr>
                <w:rFonts w:hint="eastAsia" w:ascii="宋体" w:hAnsi="宋体"/>
              </w:rPr>
              <w:t>（CPR）</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表面遮盖（SSD）</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三维容积重建（VR）</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最大</w:t>
            </w:r>
            <w:r>
              <w:rPr>
                <w:rFonts w:ascii="宋体" w:hAnsi="宋体"/>
              </w:rPr>
              <w:t>密度投影</w:t>
            </w:r>
            <w:r>
              <w:rPr>
                <w:rFonts w:hint="eastAsia" w:ascii="宋体" w:hAnsi="宋体"/>
              </w:rPr>
              <w:t>（MIP）</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最小密度投影（MinIP）</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仿真内窥镜（VE）</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CT血管造影（CTA）</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造影剂自动跟踪技术</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模拟手术刀功能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rPr>
              <w:t>一键式容积重建</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一键式去骨功能</w:t>
            </w:r>
          </w:p>
        </w:tc>
        <w:tc>
          <w:tcPr>
            <w:tcW w:w="1725" w:type="dxa"/>
            <w:vAlign w:val="center"/>
          </w:tcPr>
          <w:p>
            <w:pPr>
              <w:spacing w:line="336" w:lineRule="auto"/>
              <w:rPr>
                <w:rFonts w:hint="default" w:ascii="仿宋" w:hAnsi="仿宋" w:eastAsia="仿宋" w:cs="仿宋"/>
                <w:b w:val="0"/>
                <w:bCs w:val="0"/>
                <w:kern w:val="2"/>
                <w:sz w:val="24"/>
                <w:szCs w:val="24"/>
                <w:lang w:val="en-US" w:eastAsia="zh-CN" w:bidi="ar-SA"/>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rPr>
              <w:t>一键去床板功能</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rPr>
              <w:t>三维容积测量评估功能</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用户自定义彩色编码方案</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组织漫游技术</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color w:val="000000" w:themeColor="text1"/>
              </w:rPr>
              <w:t>显微成像技术</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头部灰白质增强技术</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内耳高分辨成像技术</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肺部高分辨成像技术</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体部高分辨成像技术</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骨骼高分辨成像技术</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具备</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lang w:eastAsia="zh-CN"/>
              </w:rPr>
              <w:t>▲</w:t>
            </w:r>
            <w:r>
              <w:rPr>
                <w:rFonts w:hint="eastAsia"/>
                <w:color w:val="000000" w:themeColor="text1"/>
                <w:lang w:val="en-US" w:eastAsia="zh-CN"/>
              </w:rPr>
              <w:t>原厂</w:t>
            </w:r>
            <w:r>
              <w:rPr>
                <w:rFonts w:hint="eastAsia"/>
                <w:color w:val="000000" w:themeColor="text1"/>
              </w:rPr>
              <w:t>高级图像后处理工作站</w:t>
            </w:r>
          </w:p>
        </w:tc>
        <w:tc>
          <w:tcPr>
            <w:tcW w:w="1725" w:type="dxa"/>
            <w:vAlign w:val="center"/>
          </w:tcPr>
          <w:p>
            <w:pPr>
              <w:spacing w:line="336" w:lineRule="auto"/>
              <w:rPr>
                <w:rFonts w:ascii="仿宋" w:hAnsi="仿宋" w:eastAsia="仿宋"/>
                <w:b w:val="0"/>
                <w:bCs/>
                <w:szCs w:val="21"/>
              </w:rPr>
            </w:pP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CPU主频</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w:t>
            </w:r>
            <w:r>
              <w:rPr>
                <w:rFonts w:hint="eastAsia" w:ascii="宋体" w:hAnsi="宋体" w:cs="Arial"/>
                <w:color w:val="000000"/>
                <w:szCs w:val="21"/>
                <w:lang w:val="en-US" w:eastAsia="zh-CN"/>
              </w:rPr>
              <w:t>4.0</w:t>
            </w:r>
            <w:r>
              <w:rPr>
                <w:rFonts w:hint="eastAsia" w:ascii="宋体" w:hAnsi="宋体" w:cs="Arial"/>
                <w:color w:val="000000"/>
                <w:szCs w:val="21"/>
              </w:rPr>
              <w:t>GHz</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计算机内存</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w:t>
            </w:r>
            <w:r>
              <w:rPr>
                <w:rFonts w:hint="eastAsia" w:ascii="宋体" w:hAnsi="宋体" w:cs="Arial"/>
                <w:color w:val="000000"/>
                <w:szCs w:val="21"/>
                <w:lang w:val="en-US" w:eastAsia="zh-CN"/>
              </w:rPr>
              <w:t>64</w:t>
            </w:r>
            <w:r>
              <w:rPr>
                <w:rFonts w:hint="eastAsia" w:ascii="宋体" w:hAnsi="宋体" w:cs="Arial"/>
                <w:color w:val="000000"/>
                <w:szCs w:val="21"/>
              </w:rPr>
              <w:t>GB</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计算机硬盘容量</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w:t>
            </w:r>
            <w:r>
              <w:rPr>
                <w:rFonts w:ascii="宋体" w:hAnsi="宋体" w:cs="Arial"/>
                <w:color w:val="000000"/>
                <w:szCs w:val="21"/>
              </w:rPr>
              <w:t>4</w:t>
            </w:r>
            <w:r>
              <w:rPr>
                <w:rFonts w:hint="eastAsia" w:ascii="宋体" w:hAnsi="宋体" w:cs="Arial"/>
                <w:color w:val="000000"/>
                <w:szCs w:val="21"/>
              </w:rPr>
              <w:t>.0TB</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显卡</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w:t>
            </w:r>
            <w:r>
              <w:rPr>
                <w:rFonts w:ascii="宋体" w:hAnsi="宋体" w:cs="Arial"/>
                <w:color w:val="000000"/>
                <w:szCs w:val="21"/>
              </w:rPr>
              <w:t>8</w:t>
            </w:r>
            <w:r>
              <w:rPr>
                <w:rFonts w:hint="eastAsia" w:ascii="宋体" w:hAnsi="宋体" w:cs="Arial"/>
                <w:color w:val="000000"/>
                <w:szCs w:val="21"/>
              </w:rPr>
              <w:t>GB</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显示器尺寸</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≥24吋</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ascii="宋体" w:hAnsi="宋体" w:cs="Arial"/>
                <w:color w:val="000000"/>
                <w:szCs w:val="21"/>
              </w:rPr>
              <w:t>显示器分辨率</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≥1920×1200</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光驱D</w:t>
            </w:r>
            <w:r>
              <w:rPr>
                <w:color w:val="000000" w:themeColor="text1"/>
              </w:rPr>
              <w:t>VD-RW</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标准键盘、鼠标</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病人管理模块（病人查询、常用工具、病人信息导入、图像数据网络传输）</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图像浏览模块（图像浏览、图像分析、测量工具）</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3</w:t>
            </w:r>
            <w:r>
              <w:rPr>
                <w:color w:val="000000" w:themeColor="text1"/>
              </w:rPr>
              <w:t>D</w:t>
            </w:r>
            <w:r>
              <w:rPr>
                <w:rFonts w:hint="eastAsia"/>
                <w:color w:val="000000" w:themeColor="text1"/>
              </w:rPr>
              <w:t>图像后处理（M</w:t>
            </w:r>
            <w:r>
              <w:rPr>
                <w:color w:val="000000" w:themeColor="text1"/>
              </w:rPr>
              <w:t>PR</w:t>
            </w:r>
            <w:r>
              <w:rPr>
                <w:rFonts w:hint="eastAsia"/>
                <w:color w:val="000000" w:themeColor="text1"/>
              </w:rPr>
              <w:t>、M</w:t>
            </w:r>
            <w:r>
              <w:rPr>
                <w:color w:val="000000" w:themeColor="text1"/>
              </w:rPr>
              <w:t>PVR</w:t>
            </w:r>
            <w:r>
              <w:rPr>
                <w:rFonts w:hint="eastAsia"/>
                <w:color w:val="000000" w:themeColor="text1"/>
              </w:rPr>
              <w:t>、C</w:t>
            </w:r>
            <w:r>
              <w:rPr>
                <w:color w:val="000000" w:themeColor="text1"/>
              </w:rPr>
              <w:t>PR</w:t>
            </w:r>
            <w:r>
              <w:rPr>
                <w:rFonts w:hint="eastAsia"/>
                <w:color w:val="000000" w:themeColor="text1"/>
              </w:rPr>
              <w:t>、S</w:t>
            </w:r>
            <w:r>
              <w:rPr>
                <w:color w:val="000000" w:themeColor="text1"/>
              </w:rPr>
              <w:t>SD</w:t>
            </w:r>
            <w:r>
              <w:rPr>
                <w:rFonts w:hint="eastAsia"/>
                <w:color w:val="000000" w:themeColor="text1"/>
              </w:rPr>
              <w:t>、V</w:t>
            </w:r>
            <w:r>
              <w:rPr>
                <w:color w:val="000000" w:themeColor="text1"/>
              </w:rPr>
              <w:t>R</w:t>
            </w:r>
            <w:r>
              <w:rPr>
                <w:rFonts w:hint="eastAsia"/>
                <w:color w:val="000000" w:themeColor="text1"/>
              </w:rPr>
              <w:t>、M</w:t>
            </w:r>
            <w:r>
              <w:rPr>
                <w:color w:val="000000" w:themeColor="text1"/>
              </w:rPr>
              <w:t>IP</w:t>
            </w:r>
            <w:r>
              <w:rPr>
                <w:rFonts w:hint="eastAsia"/>
                <w:color w:val="000000" w:themeColor="text1"/>
              </w:rPr>
              <w:t>、Min</w:t>
            </w:r>
            <w:r>
              <w:rPr>
                <w:color w:val="000000" w:themeColor="text1"/>
              </w:rPr>
              <w:t>IP</w:t>
            </w:r>
            <w:r>
              <w:rPr>
                <w:rFonts w:hint="eastAsia"/>
                <w:color w:val="000000" w:themeColor="text1"/>
              </w:rPr>
              <w:t>、A</w:t>
            </w:r>
            <w:r>
              <w:rPr>
                <w:color w:val="000000" w:themeColor="text1"/>
              </w:rPr>
              <w:t>IP</w:t>
            </w:r>
            <w:r>
              <w:rPr>
                <w:rFonts w:hint="eastAsia"/>
                <w:color w:val="000000" w:themeColor="text1"/>
              </w:rPr>
              <w:t>、V</w:t>
            </w:r>
            <w:r>
              <w:rPr>
                <w:color w:val="000000" w:themeColor="text1"/>
              </w:rPr>
              <w:t>E</w:t>
            </w:r>
            <w:r>
              <w:rPr>
                <w:rFonts w:hint="eastAsia"/>
                <w:color w:val="000000" w:themeColor="text1"/>
              </w:rPr>
              <w:t>、一键去床板、一键去骨）</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肺结节分析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肺炎分析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脑出血分析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脑灌注分析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齿科分析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高级血管分析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高级脊柱分析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vAlign w:val="center"/>
          </w:tcPr>
          <w:p>
            <w:pPr>
              <w:spacing w:line="336" w:lineRule="auto"/>
              <w:rPr>
                <w:rFonts w:ascii="仿宋" w:hAnsi="仿宋" w:eastAsia="仿宋"/>
                <w:b w:val="0"/>
                <w:bCs/>
                <w:szCs w:val="21"/>
              </w:rPr>
            </w:pPr>
            <w:r>
              <w:rPr>
                <w:rFonts w:hint="eastAsia"/>
                <w:color w:val="000000" w:themeColor="text1"/>
              </w:rPr>
              <w:t>非门控钙化积分分析</w:t>
            </w:r>
          </w:p>
        </w:tc>
        <w:tc>
          <w:tcPr>
            <w:tcW w:w="1725" w:type="dxa"/>
            <w:vAlign w:val="center"/>
          </w:tcPr>
          <w:p>
            <w:pPr>
              <w:spacing w:line="336" w:lineRule="auto"/>
              <w:rPr>
                <w:rFonts w:ascii="仿宋" w:hAnsi="仿宋" w:eastAsia="仿宋"/>
                <w:b w:val="0"/>
                <w:bCs/>
                <w:szCs w:val="21"/>
              </w:rPr>
            </w:pPr>
            <w:r>
              <w:rPr>
                <w:rFonts w:hint="eastAsia" w:ascii="宋体" w:hAnsi="宋体" w:cs="Arial"/>
                <w:color w:val="000000"/>
                <w:szCs w:val="21"/>
              </w:rPr>
              <w:t>提供</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tcPr>
          <w:p>
            <w:pPr>
              <w:spacing w:line="320" w:lineRule="exact"/>
              <w:rPr>
                <w:rFonts w:ascii="仿宋" w:hAnsi="仿宋" w:eastAsia="仿宋"/>
                <w:b w:val="0"/>
                <w:bCs/>
                <w:szCs w:val="21"/>
              </w:rPr>
            </w:pPr>
          </w:p>
        </w:tc>
        <w:tc>
          <w:tcPr>
            <w:tcW w:w="1725"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2" w:type="dxa"/>
          </w:tcPr>
          <w:p>
            <w:pPr>
              <w:numPr>
                <w:ilvl w:val="0"/>
                <w:numId w:val="2"/>
              </w:numPr>
              <w:spacing w:line="320" w:lineRule="exact"/>
              <w:ind w:left="425" w:leftChars="0" w:hanging="425" w:firstLineChars="0"/>
              <w:rPr>
                <w:rFonts w:ascii="仿宋" w:hAnsi="仿宋" w:eastAsia="仿宋"/>
                <w:b w:val="0"/>
                <w:bCs/>
                <w:szCs w:val="21"/>
              </w:rPr>
            </w:pPr>
          </w:p>
        </w:tc>
        <w:tc>
          <w:tcPr>
            <w:tcW w:w="2086" w:type="dxa"/>
          </w:tcPr>
          <w:p>
            <w:pPr>
              <w:spacing w:line="320" w:lineRule="exact"/>
              <w:rPr>
                <w:rFonts w:ascii="仿宋" w:hAnsi="仿宋" w:eastAsia="仿宋"/>
                <w:b w:val="0"/>
                <w:bCs/>
                <w:szCs w:val="21"/>
              </w:rPr>
            </w:pPr>
          </w:p>
        </w:tc>
        <w:tc>
          <w:tcPr>
            <w:tcW w:w="1725"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54" w:type="dxa"/>
          </w:tcPr>
          <w:p>
            <w:pPr>
              <w:spacing w:line="320" w:lineRule="exact"/>
              <w:rPr>
                <w:rFonts w:ascii="仿宋" w:hAnsi="仿宋" w:eastAsia="仿宋"/>
                <w:b w:val="0"/>
                <w:bCs/>
                <w:szCs w:val="21"/>
              </w:rPr>
            </w:pPr>
          </w:p>
        </w:tc>
        <w:tc>
          <w:tcPr>
            <w:tcW w:w="743" w:type="dxa"/>
          </w:tcPr>
          <w:p>
            <w:pPr>
              <w:spacing w:line="320" w:lineRule="exact"/>
              <w:rPr>
                <w:rFonts w:ascii="仿宋" w:hAnsi="仿宋" w:eastAsia="仿宋"/>
                <w:b w:val="0"/>
                <w:bCs/>
                <w:szCs w:val="21"/>
              </w:rPr>
            </w:pPr>
          </w:p>
        </w:tc>
        <w:tc>
          <w:tcPr>
            <w:tcW w:w="1759" w:type="dxa"/>
          </w:tcPr>
          <w:p>
            <w:pPr>
              <w:spacing w:line="320" w:lineRule="exact"/>
              <w:rPr>
                <w:rFonts w:ascii="仿宋" w:hAnsi="仿宋" w:eastAsia="仿宋"/>
                <w:b w:val="0"/>
                <w:bCs/>
                <w:szCs w:val="21"/>
              </w:rPr>
            </w:pPr>
          </w:p>
        </w:tc>
        <w:tc>
          <w:tcPr>
            <w:tcW w:w="174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4EFC6D3"/>
    <w:multiLevelType w:val="singleLevel"/>
    <w:tmpl w:val="04EFC6D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BE41F6"/>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CC3B1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2311</Words>
  <Characters>2654</Characters>
  <Lines>6</Lines>
  <Paragraphs>1</Paragraphs>
  <TotalTime>0</TotalTime>
  <ScaleCrop>false</ScaleCrop>
  <LinksUpToDate>false</LinksUpToDate>
  <CharactersWithSpaces>2812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2022-10-05T03:39:14Z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