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cs="微软雅黑"/>
          <w:sz w:val="24"/>
          <w:u w:val="single"/>
        </w:rPr>
        <w:t>经颅直流电刺激仪</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经颅直流电刺激仪 1台</w:t>
            </w:r>
            <w:r>
              <w:rPr>
                <w:rFonts w:hint="eastAsia" w:ascii="仿宋" w:hAnsi="仿宋" w:eastAsia="仿宋" w:cs="仿宋"/>
                <w:b w:val="0"/>
                <w:bCs w:val="0"/>
                <w:kern w:val="2"/>
                <w:sz w:val="24"/>
                <w:szCs w:val="24"/>
                <w:lang w:val="en-US" w:eastAsia="zh-CN" w:bidi="ar-SA"/>
              </w:rPr>
              <w:t>；经颅直流电刺激仪刺激器 ≥4个；控制软件 1套</w:t>
            </w:r>
          </w:p>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电极线 ≥12根；电极片 ≥30片；耳夹电极 ≥30个；电极帽 ≥12顶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spacing w:line="360" w:lineRule="auto"/>
              <w:ind w:left="0" w:leftChars="0" w:firstLine="0" w:firstLineChars="0"/>
              <w:jc w:val="left"/>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输出方式</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7"/>
              <w:spacing w:line="360" w:lineRule="auto"/>
              <w:ind w:left="0" w:leftChars="0"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r>
              <w:rPr>
                <w:rFonts w:hint="default" w:ascii="仿宋" w:hAnsi="仿宋" w:eastAsia="仿宋" w:cs="仿宋"/>
                <w:b w:val="0"/>
                <w:bCs w:val="0"/>
                <w:kern w:val="2"/>
                <w:sz w:val="24"/>
                <w:szCs w:val="24"/>
                <w:lang w:val="en-US" w:eastAsia="zh-CN" w:bidi="ar-SA"/>
              </w:rPr>
              <w:t>通道数：</w:t>
            </w:r>
            <w:r>
              <w:rPr>
                <w:rFonts w:hint="eastAsia" w:ascii="仿宋" w:hAnsi="仿宋" w:eastAsia="仿宋" w:cs="仿宋"/>
                <w:b w:val="0"/>
                <w:bCs w:val="0"/>
                <w:kern w:val="2"/>
                <w:sz w:val="24"/>
                <w:szCs w:val="24"/>
                <w:lang w:val="en-US" w:eastAsia="zh-CN" w:bidi="ar-SA"/>
              </w:rPr>
              <w:t>≥4</w:t>
            </w:r>
            <w:r>
              <w:rPr>
                <w:rFonts w:hint="default" w:ascii="仿宋" w:hAnsi="仿宋" w:eastAsia="仿宋" w:cs="仿宋"/>
                <w:b w:val="0"/>
                <w:bCs w:val="0"/>
                <w:kern w:val="2"/>
                <w:sz w:val="24"/>
                <w:szCs w:val="24"/>
                <w:lang w:val="en-US" w:eastAsia="zh-CN" w:bidi="ar-SA"/>
              </w:rPr>
              <w:t xml:space="preserve"> 通道,</w:t>
            </w:r>
            <w:r>
              <w:rPr>
                <w:rFonts w:hint="eastAsia" w:ascii="仿宋" w:hAnsi="仿宋" w:eastAsia="仿宋" w:cs="仿宋"/>
                <w:b w:val="0"/>
                <w:bCs w:val="0"/>
                <w:kern w:val="2"/>
                <w:sz w:val="24"/>
                <w:szCs w:val="24"/>
                <w:lang w:val="en-US" w:eastAsia="zh-CN" w:bidi="ar-SA"/>
              </w:rPr>
              <w:t>至少</w:t>
            </w:r>
            <w:r>
              <w:rPr>
                <w:rFonts w:hint="default" w:ascii="仿宋" w:hAnsi="仿宋" w:eastAsia="仿宋" w:cs="仿宋"/>
                <w:b w:val="0"/>
                <w:bCs w:val="0"/>
                <w:kern w:val="2"/>
                <w:sz w:val="24"/>
                <w:szCs w:val="24"/>
                <w:lang w:val="en-US" w:eastAsia="zh-CN" w:bidi="ar-SA"/>
              </w:rPr>
              <w:t>可同时治疗</w:t>
            </w:r>
            <w:r>
              <w:rPr>
                <w:rFonts w:hint="eastAsia" w:ascii="仿宋" w:hAnsi="仿宋" w:eastAsia="仿宋" w:cs="仿宋"/>
                <w:b w:val="0"/>
                <w:bCs w:val="0"/>
                <w:kern w:val="2"/>
                <w:sz w:val="24"/>
                <w:szCs w:val="24"/>
                <w:lang w:val="en-US" w:eastAsia="zh-CN" w:bidi="ar-SA"/>
              </w:rPr>
              <w:t>4</w:t>
            </w:r>
            <w:r>
              <w:rPr>
                <w:rFonts w:hint="default" w:ascii="仿宋" w:hAnsi="仿宋" w:eastAsia="仿宋" w:cs="仿宋"/>
                <w:b w:val="0"/>
                <w:bCs w:val="0"/>
                <w:kern w:val="2"/>
                <w:sz w:val="24"/>
                <w:szCs w:val="24"/>
                <w:lang w:val="en-US" w:eastAsia="zh-CN" w:bidi="ar-SA"/>
              </w:rPr>
              <w:t>名患者，通道间互不干扰。</w:t>
            </w:r>
          </w:p>
          <w:p>
            <w:pPr>
              <w:pStyle w:val="17"/>
              <w:spacing w:line="360" w:lineRule="auto"/>
              <w:ind w:left="-552" w:firstLine="480" w:firstLineChars="20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r>
              <w:rPr>
                <w:rFonts w:hint="default" w:ascii="仿宋" w:hAnsi="仿宋" w:eastAsia="仿宋" w:cs="仿宋"/>
                <w:b w:val="0"/>
                <w:bCs w:val="0"/>
                <w:kern w:val="2"/>
                <w:sz w:val="24"/>
                <w:szCs w:val="24"/>
                <w:lang w:val="en-US" w:eastAsia="zh-CN" w:bidi="ar-SA"/>
              </w:rPr>
              <w:t>参数设定：可通过控制软件设置参数</w:t>
            </w:r>
          </w:p>
          <w:p>
            <w:pPr>
              <w:pStyle w:val="17"/>
              <w:spacing w:line="360" w:lineRule="auto"/>
              <w:ind w:left="-552" w:firstLine="480" w:firstLineChars="20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r>
              <w:rPr>
                <w:rFonts w:hint="default" w:ascii="仿宋" w:hAnsi="仿宋" w:eastAsia="仿宋" w:cs="仿宋"/>
                <w:b w:val="0"/>
                <w:bCs w:val="0"/>
                <w:kern w:val="2"/>
                <w:sz w:val="24"/>
                <w:szCs w:val="24"/>
                <w:lang w:val="en-US" w:eastAsia="zh-CN" w:bidi="ar-SA"/>
              </w:rPr>
              <w:t>传输方式：</w:t>
            </w:r>
            <w:r>
              <w:rPr>
                <w:rFonts w:hint="eastAsia" w:ascii="仿宋" w:hAnsi="仿宋" w:eastAsia="仿宋" w:cs="仿宋"/>
                <w:b w:val="0"/>
                <w:bCs w:val="0"/>
                <w:kern w:val="2"/>
                <w:sz w:val="24"/>
                <w:szCs w:val="24"/>
                <w:lang w:val="en-US" w:eastAsia="zh-CN" w:bidi="ar-SA"/>
              </w:rPr>
              <w:t>服务端与客户端无线连接</w:t>
            </w:r>
            <w:r>
              <w:rPr>
                <w:rFonts w:hint="default" w:ascii="仿宋" w:hAnsi="仿宋" w:eastAsia="仿宋" w:cs="仿宋"/>
                <w:b w:val="0"/>
                <w:bCs w:val="0"/>
                <w:kern w:val="2"/>
                <w:sz w:val="24"/>
                <w:szCs w:val="24"/>
                <w:lang w:val="en-US" w:eastAsia="zh-CN" w:bidi="ar-SA"/>
              </w:rPr>
              <w:t>，无线传输范围≥10米</w:t>
            </w:r>
            <w:r>
              <w:rPr>
                <w:rFonts w:hint="eastAsia" w:ascii="仿宋" w:hAnsi="仿宋" w:eastAsia="仿宋" w:cs="仿宋"/>
                <w:b w:val="0"/>
                <w:bCs w:val="0"/>
                <w:kern w:val="2"/>
                <w:sz w:val="24"/>
                <w:szCs w:val="24"/>
                <w:lang w:val="en-US" w:eastAsia="zh-CN" w:bidi="ar-SA"/>
              </w:rPr>
              <w:t>，可抗环境干扰</w:t>
            </w:r>
            <w:r>
              <w:rPr>
                <w:rFonts w:hint="default" w:ascii="仿宋" w:hAnsi="仿宋" w:eastAsia="仿宋" w:cs="仿宋"/>
                <w:b w:val="0"/>
                <w:bCs w:val="0"/>
                <w:kern w:val="2"/>
                <w:sz w:val="24"/>
                <w:szCs w:val="24"/>
                <w:lang w:val="en-US" w:eastAsia="zh-CN" w:bidi="ar-SA"/>
              </w:rPr>
              <w:t>。</w:t>
            </w:r>
          </w:p>
          <w:p>
            <w:pPr>
              <w:spacing w:line="320" w:lineRule="exact"/>
              <w:rPr>
                <w:rFonts w:hint="eastAsia"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电流输出</w:t>
            </w:r>
          </w:p>
        </w:tc>
        <w:tc>
          <w:tcPr>
            <w:tcW w:w="1941" w:type="dxa"/>
          </w:tcPr>
          <w:p>
            <w:pPr>
              <w:spacing w:line="32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r>
              <w:rPr>
                <w:rFonts w:hint="default" w:ascii="仿宋" w:hAnsi="仿宋" w:eastAsia="仿宋" w:cs="仿宋"/>
                <w:b w:val="0"/>
                <w:bCs w:val="0"/>
                <w:sz w:val="24"/>
                <w:szCs w:val="24"/>
                <w:lang w:val="en-US" w:eastAsia="zh-CN"/>
              </w:rPr>
              <w:t>刺激模式：</w:t>
            </w:r>
            <w:r>
              <w:rPr>
                <w:rFonts w:hint="eastAsia" w:ascii="仿宋" w:hAnsi="仿宋" w:eastAsia="仿宋" w:cs="仿宋"/>
                <w:b w:val="0"/>
                <w:bCs w:val="0"/>
                <w:sz w:val="24"/>
                <w:szCs w:val="24"/>
                <w:lang w:val="en-US" w:eastAsia="zh-CN"/>
              </w:rPr>
              <w:t>具备</w:t>
            </w:r>
            <w:r>
              <w:rPr>
                <w:rFonts w:hint="default" w:ascii="仿宋" w:hAnsi="仿宋" w:eastAsia="仿宋" w:cs="仿宋"/>
                <w:b w:val="0"/>
                <w:bCs w:val="0"/>
                <w:sz w:val="24"/>
                <w:szCs w:val="24"/>
                <w:lang w:val="en-US" w:eastAsia="zh-CN"/>
              </w:rPr>
              <w:t>经颅交流电刺激模式</w:t>
            </w:r>
          </w:p>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default" w:ascii="仿宋" w:hAnsi="仿宋" w:eastAsia="仿宋" w:cs="仿宋"/>
                <w:b w:val="0"/>
                <w:bCs w:val="0"/>
                <w:sz w:val="24"/>
                <w:szCs w:val="24"/>
                <w:lang w:val="en-US" w:eastAsia="zh-CN"/>
              </w:rPr>
              <w:t>输出参数：100uA～2500uA范围内可调，误差≤</w:t>
            </w:r>
            <w:r>
              <w:rPr>
                <w:rFonts w:hint="eastAsia" w:ascii="仿宋" w:hAnsi="仿宋" w:eastAsia="仿宋" w:cs="仿宋"/>
                <w:b w:val="0"/>
                <w:bCs w:val="0"/>
                <w:sz w:val="24"/>
                <w:szCs w:val="24"/>
                <w:lang w:val="en-US" w:eastAsia="zh-CN"/>
              </w:rPr>
              <w:t>5%</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电流平缓输出，避免给患者带来不适。</w:t>
            </w:r>
          </w:p>
          <w:p>
            <w:pPr>
              <w:spacing w:line="32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default" w:ascii="仿宋" w:hAnsi="仿宋" w:eastAsia="仿宋" w:cs="仿宋"/>
                <w:b w:val="0"/>
                <w:bCs w:val="0"/>
                <w:sz w:val="24"/>
                <w:szCs w:val="24"/>
                <w:lang w:val="en-US" w:eastAsia="zh-CN"/>
              </w:rPr>
              <w:t>刺激时间范围： 30s～3600s 连续可调</w:t>
            </w:r>
            <w:r>
              <w:rPr>
                <w:rFonts w:hint="eastAsia" w:ascii="仿宋" w:hAnsi="仿宋" w:eastAsia="仿宋" w:cs="仿宋"/>
                <w:b w:val="0"/>
                <w:bCs w:val="0"/>
                <w:sz w:val="24"/>
                <w:szCs w:val="24"/>
                <w:lang w:val="en-US" w:eastAsia="zh-CN"/>
              </w:rPr>
              <w:t>（步进30s）</w:t>
            </w:r>
            <w:r>
              <w:rPr>
                <w:rFonts w:hint="default" w:ascii="仿宋" w:hAnsi="仿宋" w:eastAsia="仿宋" w:cs="仿宋"/>
                <w:b w:val="0"/>
                <w:bCs w:val="0"/>
                <w:sz w:val="24"/>
                <w:szCs w:val="24"/>
                <w:lang w:val="en-US" w:eastAsia="zh-CN"/>
              </w:rPr>
              <w:t>；</w:t>
            </w:r>
          </w:p>
          <w:p>
            <w:pPr>
              <w:spacing w:line="320" w:lineRule="exact"/>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阻抗监测：实时显示真实的阻抗值，在（5kΩ～40kΩ）范围内，阻抗检测误差≤10%。阻抗超过50KΩ则无法输出，治疗期间超过50KΩ会自动切断输出。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工作电压： 25V± 2.5V。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设备显示状态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控制端</w:t>
            </w:r>
            <w:r>
              <w:rPr>
                <w:rFonts w:hint="default" w:ascii="仿宋" w:hAnsi="仿宋" w:eastAsia="仿宋" w:cs="仿宋"/>
                <w:b w:val="0"/>
                <w:bCs w:val="0"/>
                <w:sz w:val="24"/>
                <w:szCs w:val="24"/>
                <w:lang w:val="en-US" w:eastAsia="zh-CN"/>
              </w:rPr>
              <w:t>能</w:t>
            </w:r>
            <w:r>
              <w:rPr>
                <w:rFonts w:hint="eastAsia" w:ascii="仿宋" w:hAnsi="仿宋" w:eastAsia="仿宋" w:cs="仿宋"/>
                <w:b w:val="0"/>
                <w:bCs w:val="0"/>
                <w:sz w:val="24"/>
                <w:szCs w:val="24"/>
                <w:lang w:val="en-US" w:eastAsia="zh-CN"/>
              </w:rPr>
              <w:t>新建、</w:t>
            </w:r>
            <w:r>
              <w:rPr>
                <w:rFonts w:hint="default" w:ascii="仿宋" w:hAnsi="仿宋" w:eastAsia="仿宋" w:cs="仿宋"/>
                <w:b w:val="0"/>
                <w:bCs w:val="0"/>
                <w:sz w:val="24"/>
                <w:szCs w:val="24"/>
                <w:lang w:val="en-US" w:eastAsia="zh-CN"/>
              </w:rPr>
              <w:t>查看患者的治疗记录；控制软件配置电子治疗处方</w:t>
            </w:r>
            <w:r>
              <w:rPr>
                <w:rFonts w:hint="eastAsia" w:ascii="仿宋" w:hAnsi="仿宋" w:eastAsia="仿宋" w:cs="仿宋"/>
                <w:b w:val="0"/>
                <w:bCs w:val="0"/>
                <w:sz w:val="24"/>
                <w:szCs w:val="24"/>
                <w:lang w:val="en-US" w:eastAsia="zh-CN"/>
              </w:rPr>
              <w:t>（需失眠、抑郁、认知、慢性疼痛等固定处方，并能自主对固定处方参数进行调整）</w:t>
            </w:r>
            <w:r>
              <w:rPr>
                <w:rFonts w:hint="default" w:ascii="仿宋" w:hAnsi="仿宋" w:eastAsia="仿宋" w:cs="仿宋"/>
                <w:b w:val="0"/>
                <w:bCs w:val="0"/>
                <w:sz w:val="24"/>
                <w:szCs w:val="24"/>
                <w:lang w:val="en-US" w:eastAsia="zh-CN"/>
              </w:rPr>
              <w:t>；治疗过程中开路报警及治疗时间结束提示。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电极片：应配备专用盐水电极片（电极片应提供生物相容性检测报告）,确保患者安全。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需提供医疗器械注册证证明适应症范围。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软件控制端可转移，可导出治疗及评估数据，配打印机。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AFB9B"/>
    <w:multiLevelType w:val="singleLevel"/>
    <w:tmpl w:val="BA1AFB9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6C74FBE"/>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styleId="17">
    <w:name w:val="List Paragraph"/>
    <w:basedOn w:val="1"/>
    <w:qFormat/>
    <w:uiPriority w:val="0"/>
    <w:pPr>
      <w:ind w:firstLine="420" w:firstLineChars="200"/>
    </w:pPr>
    <w:rPr>
      <w:rFonts w:ascii="Times New Roman" w:hAnsi="Times New Roman" w:eastAsia="宋体" w:cs="Times New Roman"/>
    </w:rPr>
  </w:style>
  <w:style w:type="character" w:customStyle="1" w:styleId="18">
    <w:name w:val="fontstyle01"/>
    <w:qFormat/>
    <w:uiPriority w:val="0"/>
    <w:rPr>
      <w:rFonts w:hint="eastAsia" w:ascii="宋体" w:hAnsi="宋体" w:eastAsia="宋体" w:cs="Times New Roman"/>
      <w:color w:val="000000"/>
      <w:sz w:val="36"/>
      <w:szCs w:val="36"/>
    </w:rPr>
  </w:style>
  <w:style w:type="paragraph" w:customStyle="1" w:styleId="19">
    <w:name w:val="列出段落2"/>
    <w:basedOn w:val="1"/>
    <w:qFormat/>
    <w:uiPriority w:val="0"/>
    <w:pPr>
      <w:ind w:firstLine="420" w:firstLineChars="200"/>
    </w:pPr>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2022-10-04T02:01:38Z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