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自动发药机</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1"/>
        <w:gridCol w:w="1536"/>
        <w:gridCol w:w="1937"/>
        <w:gridCol w:w="1005"/>
        <w:gridCol w:w="774"/>
        <w:gridCol w:w="1888"/>
        <w:gridCol w:w="18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29"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74"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88"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54"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53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3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74" w:type="dxa"/>
            <w:vMerge w:val="continue"/>
          </w:tcPr>
          <w:p>
            <w:pPr>
              <w:spacing w:line="320" w:lineRule="exact"/>
              <w:rPr>
                <w:rFonts w:ascii="仿宋" w:hAnsi="仿宋" w:eastAsia="仿宋"/>
                <w:b w:val="0"/>
                <w:bCs/>
                <w:szCs w:val="21"/>
              </w:rPr>
            </w:pPr>
          </w:p>
        </w:tc>
        <w:tc>
          <w:tcPr>
            <w:tcW w:w="1888" w:type="dxa"/>
            <w:vMerge w:val="continue"/>
          </w:tcPr>
          <w:p>
            <w:pPr>
              <w:spacing w:line="320" w:lineRule="exact"/>
              <w:rPr>
                <w:rFonts w:ascii="仿宋" w:hAnsi="仿宋" w:eastAsia="仿宋"/>
                <w:b w:val="0"/>
                <w:bCs/>
                <w:szCs w:val="21"/>
              </w:rPr>
            </w:pPr>
          </w:p>
        </w:tc>
        <w:tc>
          <w:tcPr>
            <w:tcW w:w="1854"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设备信息：长X宽X高（MM) </w:t>
            </w:r>
          </w:p>
        </w:tc>
        <w:tc>
          <w:tcPr>
            <w:tcW w:w="1937" w:type="dxa"/>
          </w:tcPr>
          <w:p>
            <w:pPr>
              <w:spacing w:line="320" w:lineRule="exact"/>
              <w:rPr>
                <w:rFonts w:hint="eastAsia" w:ascii="仿宋" w:hAnsi="仿宋" w:eastAsia="仿宋" w:cs="仿宋"/>
                <w:b w:val="0"/>
                <w:bCs w:val="0"/>
                <w:kern w:val="2"/>
                <w:sz w:val="24"/>
                <w:szCs w:val="24"/>
                <w:lang w:val="en-US" w:eastAsia="zh-CN" w:bidi="ar-SA"/>
              </w:rPr>
            </w:pP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主机（包含双提升机出药通道）  </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5220X2340X2690（含补药台）                       </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主机（不含提升出药通道）</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4160X2340X2690（含补药台）</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补药台尺寸（CLS-H)</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1630X560X2000</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补药台尺寸（CLS-Mage)</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2030X594X3230</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占地面积</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约7.13m²（配CLS-H)</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设备重量与荷载</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机身净重量</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2550 kg（不含补药台和提升出药）</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可存放药品总重量</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480 kg</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表面荷载</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3.76kN/m²</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集中荷载</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170 N/cm²</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可存贮药品的规格</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可存放药品总重量</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480g      max500g</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宽度</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25 - 100 mm</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高度</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10 - 80 mm</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长度</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50 - 200 mm</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出药数据</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最大出药量</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3000 盒 / 小时 </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处方处理能力</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600处方/小时,   </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出药方式</w:t>
            </w:r>
          </w:p>
        </w:tc>
        <w:tc>
          <w:tcPr>
            <w:tcW w:w="1937" w:type="dxa"/>
            <w:vAlign w:val="bottom"/>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全品种落药</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补药数据</w:t>
            </w:r>
          </w:p>
        </w:tc>
        <w:tc>
          <w:tcPr>
            <w:tcW w:w="1937" w:type="dxa"/>
            <w:vAlign w:val="bottom"/>
          </w:tcPr>
          <w:p>
            <w:pPr>
              <w:spacing w:line="320" w:lineRule="exact"/>
              <w:rPr>
                <w:rFonts w:hint="eastAsia" w:ascii="仿宋" w:hAnsi="仿宋" w:eastAsia="仿宋" w:cs="仿宋"/>
                <w:b w:val="0"/>
                <w:bCs w:val="0"/>
                <w:sz w:val="24"/>
                <w:szCs w:val="24"/>
                <w:lang w:val="en-US" w:eastAsia="zh-CN"/>
              </w:rPr>
            </w:pP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最大补药速度</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3000盒 /小时   </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每次最大补药品种数</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2（双机械手加药）</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每次缓存补药品种数量</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快速批量补药系统</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4（单次加药量大于200盒）</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补药设备</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具备错误药盒自动回收功能</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电源/能源消耗/噪音/接口</w:t>
            </w:r>
          </w:p>
        </w:tc>
        <w:tc>
          <w:tcPr>
            <w:tcW w:w="1937" w:type="dxa"/>
            <w:vAlign w:val="bottom"/>
          </w:tcPr>
          <w:p>
            <w:pPr>
              <w:spacing w:line="320" w:lineRule="exact"/>
              <w:rPr>
                <w:rFonts w:hint="eastAsia" w:ascii="仿宋" w:hAnsi="仿宋" w:eastAsia="仿宋" w:cs="仿宋"/>
                <w:b w:val="0"/>
                <w:bCs w:val="0"/>
                <w:sz w:val="24"/>
                <w:szCs w:val="24"/>
                <w:lang w:val="en-US" w:eastAsia="zh-CN"/>
              </w:rPr>
            </w:pP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功率 </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3.5kW，静态150W</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电压</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4x220 V AC, 50-60 Hz </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主电源功率</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≥5KW</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保险丝规格</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10 A   </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工作台处噪音功率 </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65 dB (A) </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网络接口</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2xRJ45</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存贮容量 </w:t>
            </w:r>
          </w:p>
        </w:tc>
        <w:tc>
          <w:tcPr>
            <w:tcW w:w="1937" w:type="dxa"/>
            <w:vAlign w:val="bottom"/>
          </w:tcPr>
          <w:p>
            <w:pPr>
              <w:spacing w:line="320" w:lineRule="exact"/>
              <w:rPr>
                <w:rFonts w:hint="eastAsia" w:ascii="仿宋" w:hAnsi="仿宋" w:eastAsia="仿宋" w:cs="仿宋"/>
                <w:b w:val="0"/>
                <w:bCs w:val="0"/>
                <w:sz w:val="24"/>
                <w:szCs w:val="24"/>
                <w:lang w:val="en-US" w:eastAsia="zh-CN"/>
              </w:rPr>
            </w:pP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总储存药品盒数</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9216-11520盒</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品规总数 </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1152-1440种</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计算标准</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6X2X10（cm）的药盒计算</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盘点</w:t>
            </w:r>
          </w:p>
        </w:tc>
        <w:tc>
          <w:tcPr>
            <w:tcW w:w="1937" w:type="dxa"/>
            <w:vAlign w:val="bottom"/>
          </w:tcPr>
          <w:p>
            <w:pPr>
              <w:spacing w:line="320" w:lineRule="exact"/>
              <w:rPr>
                <w:rFonts w:hint="eastAsia" w:ascii="仿宋" w:hAnsi="仿宋" w:eastAsia="仿宋" w:cs="仿宋"/>
                <w:b w:val="0"/>
                <w:bCs w:val="0"/>
                <w:sz w:val="24"/>
                <w:szCs w:val="24"/>
                <w:lang w:val="en-US" w:eastAsia="zh-CN"/>
              </w:rPr>
            </w:pP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盘点方式</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自动盘点</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盘点时间</w:t>
            </w:r>
          </w:p>
        </w:tc>
        <w:tc>
          <w:tcPr>
            <w:tcW w:w="1937" w:type="dxa"/>
            <w:vAlign w:val="bottom"/>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30分钟</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tcPr>
          <w:p>
            <w:pPr>
              <w:spacing w:line="320" w:lineRule="exact"/>
              <w:rPr>
                <w:rFonts w:ascii="仿宋" w:hAnsi="仿宋" w:eastAsia="仿宋"/>
                <w:b w:val="0"/>
                <w:bCs/>
                <w:szCs w:val="21"/>
              </w:rPr>
            </w:pPr>
          </w:p>
        </w:tc>
        <w:tc>
          <w:tcPr>
            <w:tcW w:w="1937"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536" w:type="dxa"/>
          </w:tcPr>
          <w:p>
            <w:pPr>
              <w:spacing w:line="320" w:lineRule="exact"/>
              <w:rPr>
                <w:rFonts w:ascii="仿宋" w:hAnsi="仿宋" w:eastAsia="仿宋"/>
                <w:b w:val="0"/>
                <w:bCs/>
                <w:szCs w:val="21"/>
              </w:rPr>
            </w:pPr>
          </w:p>
        </w:tc>
        <w:tc>
          <w:tcPr>
            <w:tcW w:w="1937"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05" w:type="dxa"/>
          </w:tcPr>
          <w:p>
            <w:pPr>
              <w:spacing w:line="320" w:lineRule="exact"/>
              <w:rPr>
                <w:rFonts w:ascii="仿宋" w:hAnsi="仿宋" w:eastAsia="仿宋"/>
                <w:b w:val="0"/>
                <w:bCs/>
                <w:szCs w:val="21"/>
              </w:rPr>
            </w:pPr>
          </w:p>
        </w:tc>
        <w:tc>
          <w:tcPr>
            <w:tcW w:w="774" w:type="dxa"/>
          </w:tcPr>
          <w:p>
            <w:pPr>
              <w:spacing w:line="320" w:lineRule="exact"/>
              <w:rPr>
                <w:rFonts w:ascii="仿宋" w:hAnsi="仿宋" w:eastAsia="仿宋"/>
                <w:b w:val="0"/>
                <w:bCs/>
                <w:szCs w:val="21"/>
              </w:rPr>
            </w:pPr>
          </w:p>
        </w:tc>
        <w:tc>
          <w:tcPr>
            <w:tcW w:w="1888" w:type="dxa"/>
          </w:tcPr>
          <w:p>
            <w:pPr>
              <w:spacing w:line="320" w:lineRule="exact"/>
              <w:rPr>
                <w:rFonts w:ascii="仿宋" w:hAnsi="仿宋" w:eastAsia="仿宋"/>
                <w:b w:val="0"/>
                <w:bCs/>
                <w:szCs w:val="21"/>
              </w:rPr>
            </w:pPr>
          </w:p>
        </w:tc>
        <w:tc>
          <w:tcPr>
            <w:tcW w:w="1854"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34AC1"/>
    <w:multiLevelType w:val="singleLevel"/>
    <w:tmpl w:val="C9834AC1"/>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6B23462"/>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font11"/>
    <w:basedOn w:val="12"/>
    <w:uiPriority w:val="0"/>
    <w:rPr>
      <w:rFonts w:hint="eastAsia" w:ascii="黑体" w:hAnsi="宋体" w:eastAsia="黑体" w:cs="黑体"/>
      <w:b/>
      <w:bCs/>
      <w:color w:val="333333"/>
      <w:sz w:val="16"/>
      <w:szCs w:val="16"/>
      <w:u w:val="none"/>
    </w:rPr>
  </w:style>
  <w:style w:type="character" w:customStyle="1" w:styleId="18">
    <w:name w:val="font21"/>
    <w:basedOn w:val="12"/>
    <w:uiPriority w:val="0"/>
    <w:rPr>
      <w:rFonts w:hint="eastAsia" w:ascii="黑体" w:hAnsi="宋体" w:eastAsia="黑体" w:cs="黑体"/>
      <w:color w:val="000000"/>
      <w:sz w:val="16"/>
      <w:szCs w:val="16"/>
      <w:u w:val="none"/>
    </w:rPr>
  </w:style>
  <w:style w:type="character" w:customStyle="1" w:styleId="19">
    <w:name w:val="font01"/>
    <w:basedOn w:val="12"/>
    <w:uiPriority w:val="0"/>
    <w:rPr>
      <w:rFonts w:ascii="Malgun Gothic" w:hAnsi="Malgun Gothic" w:eastAsia="Malgun Gothic" w:cs="Malgun Gothic"/>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2022-10-04T02:52:36Z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