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彩超（腹部、肌骨）</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3"/>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04"/>
        <w:gridCol w:w="932"/>
        <w:gridCol w:w="3353"/>
        <w:gridCol w:w="882"/>
        <w:gridCol w:w="700"/>
        <w:gridCol w:w="1578"/>
        <w:gridCol w:w="15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71"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578"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596"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932"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53"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82"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00" w:type="dxa"/>
            <w:vMerge w:val="continue"/>
          </w:tcPr>
          <w:p>
            <w:pPr>
              <w:spacing w:line="320" w:lineRule="exact"/>
              <w:rPr>
                <w:rFonts w:ascii="仿宋" w:hAnsi="仿宋" w:eastAsia="仿宋"/>
                <w:b w:val="0"/>
                <w:bCs/>
                <w:szCs w:val="21"/>
              </w:rPr>
            </w:pPr>
          </w:p>
        </w:tc>
        <w:tc>
          <w:tcPr>
            <w:tcW w:w="1578" w:type="dxa"/>
            <w:vMerge w:val="continue"/>
          </w:tcPr>
          <w:p>
            <w:pPr>
              <w:spacing w:line="320" w:lineRule="exact"/>
              <w:rPr>
                <w:rFonts w:ascii="仿宋" w:hAnsi="仿宋" w:eastAsia="仿宋"/>
                <w:b w:val="0"/>
                <w:bCs/>
                <w:szCs w:val="21"/>
              </w:rPr>
            </w:pPr>
          </w:p>
        </w:tc>
        <w:tc>
          <w:tcPr>
            <w:tcW w:w="1596"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途：超高端全身彩色多普勒超声诊断系统，主要用于腹部、心脏、妇科及胎儿检查、血管、小器官、肌肉骨骼、神经、术中、弹性、造影及介入等方面的临床诊断和科研教学工作。具有世界最新平台，具备持续升级能力，可满足临床开展新技术应用的需求；</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招标文件中的所有功能和软件必需全部提供，用户无需另外付费，功能缺失按其他投标人分项报价修改其投标总价;投标设备要求2020年以后推出最新机型并具备持续升级能力；</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提供产品注册证及技术白皮书并加盖制造厂商公章</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主要技术规格及系统概述：</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主机系统性能概括</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全新集束精准发射技术，全程动态聚焦发射声束，海量并行处理</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数字处理通道数≥400万</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动态范围≥320DB</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数字化二维灰阶成像、M型和解剖M型技术,</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彩色多普勒成像技术</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彩色多普勒能量图、方向性能量图技术</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实时动态频谱多普勒显示及多参数分析系统</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组织多普勒成像技术</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采用整场空间像素成像原理成像或域成像或相干成像，且同时具备无焦点和有焦点两种模式切换使用，遇到特殊病人情况下能自由切换</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二维心脏造影技术</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二维、彩色血流和频率多普勒三同步功能, 可用于心脏模式</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脉冲反相谐波技术, 可与复合成像技术同时使用</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实时复合成像技术(多角度实时发射和接收，可达≥7种角度,)</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磁共振相素优化技术或类似技术，改善边界显示，提高分辨率，减少伪像，可分级调节。</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组织声束校正技术，适用于线阵探头，分级可调，以达到更精准的成像</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实时自动图像优化和一键优化功能，可实时优化二维灰阶图像、频谱多普勒和彩色多普勒；</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扫查专家技术：规范检查流程，自动检查记录及自动模式切换，自动加标注及体表标志，极大提高检查效率和检查的规范性 </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术者模式，主屏幕和触摸屏同时显示图像，基于AI大数据深度场景化，自动呈现4种不同风格图像，在实时状态下快速切换，且预设联动，医生可自定义选择其中一个作为最优检查条件，减少操作；</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心血管成像技术概括:</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具备扇扩成像模式，心脏图像上可以有效的提供近场有效诊断视野，帮助心肌病和心尖部分的检测，特别加强了右心的显示。</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心脏在二维，血流，频谱上具有全域聚焦模式，有效加强了心脏近中远场图像的优化，减少远处的衰减和图像质量的降低</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心脏在二维，彩色上具备高清高帧频放大功能，在不降低图像质量的前提小，大幅度增加图像的细节分辨率和帧频，对心脏细节显示起到有效提升  </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具备两种解剖M性模式，要可以在原M形线基础上进行角度改变，和任意角度方向直线M形线选取</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清澈血流技术，自动消除因生理运动造成的彩色伪像，提高彩色分辨率，增强血流边界显示，减少伪像</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具备快速智能心脏血流模式，可以快速选择多种血流诊断模式，具备一键显示冠脉血流优势诊断能力</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血管增强技术，通过数字化减影技术，有效减少大血管及微细血管结构的噪声，提供更为清晰的血管壁定义和组织边界检测。有效增强深部血管和小血管管壁、管腔、血管内膜等结构的显示能力，可用于周围血管、浅表组织及胎心检查等，并支持≥5级可调</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具备2D、 彩色、 多普勒 和M型模式下冻结和回放图像后处理功能</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智能图像零键优化技术，零键优化二维、彩色多普勒及造影图像质量，自动频谱多普勒优化技术，冻结瞬间自动优化频谱为最佳图像，无需特别按键操作；</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测量和分析(B型、M型、频谱多普勒、彩色多普勒)</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一般测量</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多普勒血流测量及分析</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心脏功能测量与分析</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腹部测量与分析</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小器官测量与分析</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主要的先进临床应用功能</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灰阶超宽视野成像扫描技术：扩展成像视野，支持360°自由旋转，实时扫查时支持反转、支持放大、缩放及平移功能，具有速度指示器，测量功能，获取过程可暂停和退回，支持所有线阵及凸阵探头</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超宽视野成像扫描技术：以灰阶超宽视野成像技术为基础，采集过程优化多普勒能量图、速度图扩展成像视野，角度可达360度，具有屏幕速度指示器，获取过程可有暂停和退回操作，支持旋转、缩放及平移功能，适用于全部线阵及凸阵探头；</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造影成像技术，采用相干脉冲成像造影技术，发射和接收过程中采用精确的相位和振幅调制控制，利用所获取的造影剂非线性基波及非线性谐波信息进行造影成像，具备低机械指数和中等机械指数两种选择模式，支持相控阵、凸阵、线阵、腔内探头</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双幅超声造影模式下支持双穿刺引导功能，且实时显示穿刺针进针路径，并同步显示穿刺针进入深度数值（附图）</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实时应变弹性成像技术：能够以灰阶或彩阶图像方式显示感兴趣区组织的弹性硬度，无需人工加压，可测量局部应变值，应变值至少9量段以上；</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点式剪切波成像技术：定量组织弹性，可用文字标记测量点、结节或肝段，可显示剪切波传播的速度图(m/s)和组织的弹性图(kPa)，支持凸阵、线阵探头、相控阵探头</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二维剪切波弹性成像技术：具备二维剪切波弹性成像技术，采用安全的声辐射力技术，可定性定量软组织弹性值，支持腹部、高频探头。测量取样框大小及位置可调，取样点数量无限制；</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自动描记寻边技术：采用边界检测技术，可对不规则面积与容积图像进行面积、最大直径和体积的测量，可对多个感兴趣区进行定量和标记，心脏检查中，可自动识别包络反流面积（附图）</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图像存储 (电影) 回放重显，硬盘500GB, DVD/USB图像存储,电影回放重现单元2200帧</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参考信号：心电、心电触发</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输入/输出信号</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输入：VCR、外部视频、RGB彩色视频</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输出：复合视频、RGB 彩色视频/S-视频、HD高清输出</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超声图像及病案管理系统</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病案管理单元包括病人资料、报告、图像等的存储、修改、检索和打印等；</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可根据检查要求对工作站参数（存储、压缩、回放）进行编程调节；</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报告存储、检索和统计</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医学数字图像和通信DICOM3.0接口</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技术参数及要求</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系统通用功能</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高分辨率OLED液晶显示器≥22英寸，不间断逐行扫描，可上下左右任意旋转，可前后折叠。</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操作面板具备液晶触摸屏≥15.6英寸（不含边框）。</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探头接口≥4个，全激活可互换通用</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探头规格参数及配置要求</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频率：超宽频带探头，频率 1 MHz 到18MHz</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二维、彩色、多普勒均可独立变频</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类型：电子扇扫、线阵、凸阵 、相控阵</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电子线阵探头有效阵元数≥256，电子凸阵探头有效阵元数≥192，电子相控阵探头有效阵元数≥80</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扫描深度≥30cm</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探头配置四把</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单晶体相控阵探头：频率1.5-4.5MHz</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单晶体凸阵探头（1把）:频率 1.5-5.0MHz</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高频线阵探头：频率5-13.5MHz</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超高频线阵肌骨探头：频率5.5-21.0MHz</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所有高频线阵探头均需支持造影功能</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二维灰阶显像主要参数:</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成像速度：相控阵探头，全视野，17cm深度时，帧速度≥60帧/秒；</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凸阵探头，全视野，18cm深度时，帧速率≥45帧/秒</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线阵探头，全视野，4cm深度时，帧速率≥140帧/秒</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心脏探头谐波成像频率个数≥3,小器官血管探头的谐波频率个数≥3个,腹部探头的谐波频率个数≥3个</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增益调节：TGC增益补偿≥8 段，B/M/Color 可独立调节</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数字声束形成器：数字式全程动态聚焦，数字式可变孔径及动态变迹，A/D≥12bit</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高分辨率放大：放大时增加信息量，提高分辨率及帧率；</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二维灰阶成像 ≥256 灰阶。</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频谱多普勒：</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显示模式：脉冲多普勒 (PWD)、 高脉冲重复频率 (HPRF)、连续波多普勒（CW）</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发射频率: 电子相控阵: PWD,CWD1.6-1.8MHz；电子凸阵:PWD 2.0-2.2MHz</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电子线阵:PWD 5.75-7.0MHz</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显示方式： B/CDV/CW；B/D, B/C/D, D</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最大测量速度：PW, 2.5MHz,血流速度最大≥+7.0m/s</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CW, 1.9MHZ,血流速度最大≥+18.0m/s</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最低测量速度：≤ 1mm/s (非噪音信号)；</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Doppler及M型电影回放：≥48 秒；</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滤波器：高通滤波或低通滤波两种，分级选择；</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取样宽度及位置范围：宽度 1.0mm至20mm多级可调；</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零位移动：≥ 6级；</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显示控制：反转显示 (上/下)、零移位、B-刷新、D 扩展、B/D 扩展，局放及移位；</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彩色多普勒：</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显示方式：速度方差显示、能量显示、速度显示、方差显示</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彩色显示角度: 20-90度选择</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扫描速率：相控阵探头，85度时，18 cm 深度，彩色帧率 ≥ 10 帧/秒；</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组织多普勒帧频：相控阵探头，85度时，18cm深度，帧频≥110帧/秒</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彩色增强功能：彩色多普勒能量图(CDE/CPI)</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显示控制：零位移动分+15级，黑白与彩色比较，彩色对比</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pStyle w:val="11"/>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显示位置调整：线阵扫描感兴趣的图像范围：-30°～ +30°</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tcPr>
          <w:p>
            <w:pPr>
              <w:spacing w:line="320" w:lineRule="exact"/>
              <w:rPr>
                <w:rFonts w:ascii="仿宋" w:hAnsi="仿宋" w:eastAsia="仿宋"/>
                <w:b w:val="0"/>
                <w:bCs/>
                <w:szCs w:val="21"/>
              </w:rPr>
            </w:pPr>
            <w:r>
              <w:rPr>
                <w:rFonts w:ascii="微软雅黑" w:hAnsi="微软雅黑" w:eastAsia="微软雅黑" w:cs="Arial"/>
                <w:color w:val="333333"/>
              </w:rPr>
              <w:t>超声功率输出调节: B/M、 PWD、彩色多普勒输出功率分级可调</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pStyle w:val="11"/>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 w:type="dxa"/>
          </w:tcPr>
          <w:p>
            <w:pPr>
              <w:numPr>
                <w:ilvl w:val="0"/>
                <w:numId w:val="2"/>
              </w:numPr>
              <w:spacing w:line="320" w:lineRule="exact"/>
              <w:ind w:left="425" w:leftChars="0" w:hanging="425" w:firstLineChars="0"/>
              <w:rPr>
                <w:rFonts w:ascii="仿宋" w:hAnsi="仿宋" w:eastAsia="仿宋"/>
                <w:b w:val="0"/>
                <w:bCs/>
                <w:szCs w:val="21"/>
              </w:rPr>
            </w:pPr>
          </w:p>
        </w:tc>
        <w:tc>
          <w:tcPr>
            <w:tcW w:w="932" w:type="dxa"/>
          </w:tcPr>
          <w:p>
            <w:pPr>
              <w:spacing w:line="320" w:lineRule="exact"/>
              <w:rPr>
                <w:rFonts w:ascii="仿宋" w:hAnsi="仿宋" w:eastAsia="仿宋"/>
                <w:b w:val="0"/>
                <w:bCs/>
                <w:szCs w:val="21"/>
              </w:rPr>
            </w:pPr>
          </w:p>
        </w:tc>
        <w:tc>
          <w:tcPr>
            <w:tcW w:w="3353"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882" w:type="dxa"/>
          </w:tcPr>
          <w:p>
            <w:pPr>
              <w:spacing w:line="320" w:lineRule="exact"/>
              <w:rPr>
                <w:rFonts w:ascii="仿宋" w:hAnsi="仿宋" w:eastAsia="仿宋"/>
                <w:b w:val="0"/>
                <w:bCs/>
                <w:szCs w:val="21"/>
              </w:rPr>
            </w:pPr>
          </w:p>
        </w:tc>
        <w:tc>
          <w:tcPr>
            <w:tcW w:w="700" w:type="dxa"/>
          </w:tcPr>
          <w:p>
            <w:pPr>
              <w:spacing w:line="320" w:lineRule="exact"/>
              <w:rPr>
                <w:rFonts w:ascii="仿宋" w:hAnsi="仿宋" w:eastAsia="仿宋"/>
                <w:b w:val="0"/>
                <w:bCs/>
                <w:szCs w:val="21"/>
              </w:rPr>
            </w:pPr>
          </w:p>
        </w:tc>
        <w:tc>
          <w:tcPr>
            <w:tcW w:w="1578" w:type="dxa"/>
          </w:tcPr>
          <w:p>
            <w:pPr>
              <w:spacing w:line="320" w:lineRule="exact"/>
              <w:rPr>
                <w:rFonts w:ascii="仿宋" w:hAnsi="仿宋" w:eastAsia="仿宋"/>
                <w:b w:val="0"/>
                <w:bCs/>
                <w:szCs w:val="21"/>
              </w:rPr>
            </w:pPr>
          </w:p>
        </w:tc>
        <w:tc>
          <w:tcPr>
            <w:tcW w:w="1596"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3"/>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2"/>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2"/>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2"/>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2"/>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84B70"/>
    <w:multiLevelType w:val="singleLevel"/>
    <w:tmpl w:val="E8284B70"/>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7D54CAD"/>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0"/>
    <w:qFormat/>
    <w:uiPriority w:val="99"/>
    <w:pPr>
      <w:widowControl/>
      <w:jc w:val="left"/>
    </w:pPr>
    <w:rPr>
      <w:rFonts w:ascii="宋体" w:hAnsi="宋体" w:cs="宋体"/>
      <w:kern w:val="0"/>
      <w:sz w:val="24"/>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paragraph" w:styleId="11">
    <w:name w:val="Body Text First Indent 2"/>
    <w:basedOn w:val="6"/>
    <w:semiHidden/>
    <w:unhideWhenUsed/>
    <w:qFormat/>
    <w:uiPriority w:val="99"/>
    <w:pPr>
      <w:ind w:firstLine="420" w:firstLineChars="200"/>
    </w:p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页眉 Char"/>
    <w:basedOn w:val="14"/>
    <w:link w:val="8"/>
    <w:semiHidden/>
    <w:qFormat/>
    <w:uiPriority w:val="99"/>
    <w:rPr>
      <w:sz w:val="18"/>
      <w:szCs w:val="18"/>
    </w:rPr>
  </w:style>
  <w:style w:type="character" w:customStyle="1" w:styleId="16">
    <w:name w:val="页脚 Char"/>
    <w:basedOn w:val="14"/>
    <w:link w:val="7"/>
    <w:qFormat/>
    <w:uiPriority w:val="99"/>
    <w:rPr>
      <w:sz w:val="18"/>
      <w:szCs w:val="18"/>
    </w:rPr>
  </w:style>
  <w:style w:type="character" w:customStyle="1" w:styleId="17">
    <w:name w:val="NormalCharacter"/>
    <w:qFormat/>
    <w:uiPriority w:val="0"/>
  </w:style>
  <w:style w:type="character" w:customStyle="1" w:styleId="18">
    <w:name w:val="highlight"/>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3</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2022-10-04T02:10:05Z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