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hAnsi="宋体"/>
          <w:b/>
          <w:sz w:val="32"/>
          <w:szCs w:val="32"/>
          <w:u w:val="single"/>
        </w:rPr>
        <w:t>肌电图诱发电位仪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总体要求：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国际知名品牌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具备FDA或CE国际认证，具备SFDA认证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具备低噪声、高抗干扰能力的一体化台式系统和专用控制键盘，控制键盘内  置听觉、视觉和电刺激模块和接口；能够完成神经电图、肌电图、诱发电位等检测项目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提供完整的中英文技术资料一套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确保消耗品及维修备件十年内长期供应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设备技术规格及配置要求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硬件技术规格</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放大器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外置放大器通道数：≥6通道，放大器内置国际标准5芯DIN插孔（用于5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芯同轴屏蔽电缆信号采集）≥3个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输入阻抗：≥1000MΩ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噪声水平：≤0.4uV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共模抑制比：≥124dB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低通滤波：20Hz-20KHz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高通滤波：0.01Hz-3KHz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内置阻抗测试，放大器面板LED直观显示阻抗测试结果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内置定标信号</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内置扬声器开关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电刺激器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电刺激器：1个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刺激类型：恒流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刺激强度：0-100mA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刺激频率：0.1Hz～200Hz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刺激时限：0.04～1ms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刺激分辨率：0.1mA/0.01mA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输出极性：正相、负相、交替、双相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输出模式：单、交替、突发、串、冲撞</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听觉刺激器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刺激器输出：标准声学耳机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数量：1套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刺激极性：疏音、密音、交替音</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刺激波形：喀喇音、纯音、爆发音、Pips、半正弦、正弦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视觉刺激器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刺激模式：棋盘格翻转、水平条栅、垂直条栅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刺激输出：17寸视觉刺激器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刺激视野：全视野、半视野、1/4视野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注视点：2种以上，可移动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刺激格大小：刺激格大小：3x4，6x8，12x16，24x32，48x64，96x128；</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背景色：黑、灰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具备原厂掌上型肌电/电刺激器模块，可独立完成肌电图引导下精确的肉毒素注射治疗，体积小、重量轻，便于携带（须提供相对应的进口医疗器械注册证）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放大器增益：1-45000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放大器带宽：600Hz-5KHz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扬声器带宽：340Hz-10KHz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输出电流：1–15mA，以1mA步进调整</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电极阻抗：200–7kΩ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最大激励电压：100V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刺激频率：1Hz-2Hz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5"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脉冲波宽：0.1ms、0.2ms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输出波形：方波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9V碱性电池独立供电，无需外接电源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整机含电池重量：≤200g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计算机系统要求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计算机主机：不低于酷睿i5，8G内存，硬盘≥1T，光驱刻录</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Windows 10操作系统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主机内置监听扬声器和音量控制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独立专用控制键盘，具备听觉、视觉、电刺激接口，具备刺激输出调节及数字输入键盘功能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键盘、鼠标、22寸液晶显示屏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软件功能要求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神经电图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运动传导速度测定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感觉传导速度测定</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微移定位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F-波</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H-反射</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重复频率电刺激</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瞬目反射</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植物神经电反应</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肌电图</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定量肌电图分析：静息电位、单MUP、多MUP自动及手动分析、干扰相(重收缩)自动分析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全自动运动单位电位的高速提取，一次可提取6个不同的MUP</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T/A、NSS短片段等云图分析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原始肌电信号及声音同步存储和回放再分析功能，每块肌肉可存储多个片段，每个片段可连续记录15分钟原始的肌电图波形和声音信号，可同步回放和再分析处理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诱发电位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体感诱发电位（上肢体感、下肢体感、脊髓诱发、三叉神经体感）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听觉诱发电位（脑干诱发电位、40Hz、客观测听等）</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视觉诱发电位</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事件相关电位（P300、CNV）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全中文病历管理和中文报告生成系统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中国人正常值数据库</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原厂全中文软件及全中文报告系统，可根据需要自定义报告格式，表格、数据、图形自动进入中文报告系统，不需要手工输入数据或屏幕抓图粘贴完成中文报告。报告结果可转入微软办公软件读取分析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2D5B84"/>
    <w:multiLevelType w:val="singleLevel"/>
    <w:tmpl w:val="0F2D5B8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65624B9"/>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1</TotalTime>
  <ScaleCrop>false</ScaleCrop>
  <LinksUpToDate>false</LinksUpToDate>
  <CharactersWithSpaces>1428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2022-10-03T03:10:50Z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