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eastAsia="宋体" w:cs="宋体"/>
          <w:b/>
          <w:kern w:val="0"/>
          <w:sz w:val="30"/>
          <w:szCs w:val="30"/>
          <w:u w:val="single"/>
        </w:rPr>
        <w:t>智能关节康复器</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膝关节角度活动范围：-5°—120°；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关节角度变化速度等级：1—5级；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训练时间：1—99分钟；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电源：AC220V，50Hz；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功耗：≤40VA；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数码电路微电脑控制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LCD 大屏幕液晶显示运动角度、速度、时间；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具有匀速运动和加速运动；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具有渐进运动模式和摆动运动模式；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具有锁屏功能；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入选国家中医药管理局中医诊疗设备推荐产品目录；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产品通过ISO9001、13485 医疗器械质量管理体系认证；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生产厂家通过环境管理体系认证和职业健康安全管理体系认证。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大容量CPU全微电脑智能设计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独立电机控制，膝关节锻炼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控制模式：正常模式、 角度模式、速度模式。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速度模式：加速、匀速，五级可调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运动模式：摆动、渐进</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文鼎荆棘体">
    <w:altName w:val="宋体"/>
    <w:panose1 w:val="020B0602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39F83"/>
    <w:multiLevelType w:val="singleLevel"/>
    <w:tmpl w:val="C8339F83"/>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8DE1A45"/>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027507"/>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2022-10-03T02:33:39Z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