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宋体" w:hAnsi="宋体" w:eastAsia="宋体" w:cs="宋体"/>
          <w:b/>
          <w:color w:val="000000" w:themeColor="text1"/>
          <w:kern w:val="2"/>
          <w:sz w:val="28"/>
          <w:szCs w:val="28"/>
          <w:highlight w:val="none"/>
          <w:u w:val="single"/>
          <w:lang w:val="en-US" w:eastAsia="zh-CN"/>
        </w:rPr>
        <w:t>上肢关节康复器</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电源：交流220V ±22V、50Hz±1Hz</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额定输入功率：70VA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肘关节活动支架长度可调范围0～150mm，允差±10%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肩上臂支架调整范围0～200mm，允差±10%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肩前臂支架调整范围0～280mm，允差±10%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前臂可握手座调节范围0～280mm，允差±10%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移动支架高度调节范围0～290mm，允差±10%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被动训练力矩：20N·m，允差±10%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额定载荷：50N</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康复器关节活动角度调节范围：0°～125°，其中0°～123°时，级差3°，123°～125°时，级差2°，角度不大于50°时，允差±5°，角度大于50°时，允差±10%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康复器角速度：最小角速度为3.0°/s，最大角速度为4.4°/s，允差±20%，分8档调节，级差为0.2°/s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康复器运动时间可在0～240min范围内调节，级差10min，允差±30s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活动仪设有线控开关，安全可靠</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意外断电：电源中断及恢复通电后，固定肢体的支架保持在停止时的状态。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运动支臂左右可调换</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运动角度、速度、时间均数码控制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LCD 背光屏幕液晶显示，数据清晰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设备功能：对患者上肢（肩、肘、腕）进行被动训练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产品优势：</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康复器关节活动角度调节范围：0°～125°，其中0°～123°时，级差3°，123°～125°时，级差2°，角度不大于50°时，允差±5°，角度大于50°时，允差±10%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康复器角速度：最小角速度为3.0°/s，最大角速度为4.4°/s，允差±20%，分8档调节，级差为0.2°/s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运动支臂左右可调换</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疲劳试验：设备经过不少于100000次工作周期后不会产生任何裂纹、破损等现象。</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bookmarkStart w:id="0" w:name="_GoBack"/>
            <w:bookmarkEnd w:id="0"/>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0</w:t>
      </w: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AB065"/>
    <w:multiLevelType w:val="singleLevel"/>
    <w:tmpl w:val="8A6AB065"/>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8C0598"/>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1B3ADB"/>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1758</Words>
  <Characters>1919</Characters>
  <Lines>6</Lines>
  <Paragraphs>1</Paragraphs>
  <TotalTime>0</TotalTime>
  <ScaleCrop>false</ScaleCrop>
  <LinksUpToDate>false</LinksUpToDate>
  <CharactersWithSpaces>2069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2022-10-03T02:26:19Z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