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lang w:val="en-US" w:eastAsia="zh-CN"/>
        </w:rPr>
        <w:t xml:space="preserve"> </w:t>
      </w: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乳腺钼靶机</w:t>
      </w:r>
      <w:r>
        <w:rPr>
          <w:rFonts w:hint="eastAsia" w:asciiTheme="majorEastAsia" w:hAnsiTheme="majorEastAsia" w:eastAsiaTheme="majorEastAsia"/>
          <w:b/>
          <w:sz w:val="32"/>
          <w:szCs w:val="32"/>
        </w:rPr>
        <w:t>项目初步参数论证征集意见表</w:t>
      </w:r>
      <w:bookmarkEnd w:id="0"/>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48"/>
        <w:gridCol w:w="1722"/>
        <w:gridCol w:w="1807"/>
        <w:gridCol w:w="996"/>
        <w:gridCol w:w="769"/>
        <w:gridCol w:w="1867"/>
        <w:gridCol w:w="18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73"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69"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867"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836"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722"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807"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9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69" w:type="dxa"/>
            <w:vMerge w:val="continue"/>
          </w:tcPr>
          <w:p>
            <w:pPr>
              <w:spacing w:line="320" w:lineRule="exact"/>
              <w:rPr>
                <w:rFonts w:ascii="仿宋" w:hAnsi="仿宋" w:eastAsia="仿宋"/>
                <w:b w:val="0"/>
                <w:bCs/>
                <w:szCs w:val="21"/>
              </w:rPr>
            </w:pPr>
          </w:p>
        </w:tc>
        <w:tc>
          <w:tcPr>
            <w:tcW w:w="1867" w:type="dxa"/>
            <w:vMerge w:val="continue"/>
          </w:tcPr>
          <w:p>
            <w:pPr>
              <w:spacing w:line="320" w:lineRule="exact"/>
              <w:rPr>
                <w:rFonts w:ascii="仿宋" w:hAnsi="仿宋" w:eastAsia="仿宋"/>
                <w:b w:val="0"/>
                <w:bCs/>
                <w:szCs w:val="21"/>
              </w:rPr>
            </w:pPr>
          </w:p>
        </w:tc>
        <w:tc>
          <w:tcPr>
            <w:tcW w:w="1836"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设备型号及其用途</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全数字化平板乳腺X线摄影设备，用于乳腺疾病筛查及诊断</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资格标准</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该设备必须获得CFDA认证</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机型</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提供2018年后注册的最新进口机型或进口品牌机型</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配置及主要技术参数及要求：</w:t>
            </w:r>
          </w:p>
        </w:tc>
        <w:tc>
          <w:tcPr>
            <w:tcW w:w="1807" w:type="dxa"/>
            <w:vAlign w:val="center"/>
          </w:tcPr>
          <w:p>
            <w:pPr>
              <w:spacing w:line="320" w:lineRule="exact"/>
              <w:rPr>
                <w:rFonts w:hint="eastAsia" w:ascii="仿宋" w:hAnsi="仿宋" w:eastAsia="仿宋" w:cs="仿宋"/>
                <w:b w:val="0"/>
                <w:bCs w:val="0"/>
                <w:sz w:val="24"/>
                <w:szCs w:val="24"/>
                <w:lang w:val="en-US" w:eastAsia="zh-CN"/>
              </w:rPr>
            </w:pP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机架：</w:t>
            </w:r>
          </w:p>
        </w:tc>
        <w:tc>
          <w:tcPr>
            <w:tcW w:w="1807" w:type="dxa"/>
            <w:vAlign w:val="center"/>
          </w:tcPr>
          <w:p>
            <w:pPr>
              <w:spacing w:line="320" w:lineRule="exact"/>
              <w:rPr>
                <w:rFonts w:hint="eastAsia" w:ascii="仿宋" w:hAnsi="仿宋" w:eastAsia="仿宋" w:cs="仿宋"/>
                <w:b w:val="0"/>
                <w:bCs w:val="0"/>
                <w:sz w:val="24"/>
                <w:szCs w:val="24"/>
                <w:lang w:val="en-US" w:eastAsia="zh-CN"/>
              </w:rPr>
            </w:pP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C臂升降最低点</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＜69cm</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C臂升降最高点</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＞132cm</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C臂上下移动范围：</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≥65cm</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C臂旋转范围</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≥±180º</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C臂摆位</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具有镜向角度记忆功能，可一键式摆位，快捷准确</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SID</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＞66cm</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X线发生器：</w:t>
            </w:r>
          </w:p>
        </w:tc>
        <w:tc>
          <w:tcPr>
            <w:tcW w:w="1807" w:type="dxa"/>
            <w:vAlign w:val="center"/>
          </w:tcPr>
          <w:p>
            <w:pPr>
              <w:spacing w:line="320" w:lineRule="exact"/>
              <w:rPr>
                <w:rFonts w:hint="eastAsia" w:ascii="仿宋" w:hAnsi="仿宋" w:eastAsia="仿宋" w:cs="仿宋"/>
                <w:b w:val="0"/>
                <w:bCs w:val="0"/>
                <w:sz w:val="24"/>
                <w:szCs w:val="24"/>
                <w:lang w:val="en-US" w:eastAsia="zh-CN"/>
              </w:rPr>
            </w:pP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功率</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≥5KW</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KV范围</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20KV～50KV(0.5KV步进)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mAS范围</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0.1～500mAs</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mA范围</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5-125mA</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供电</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单相 220V-240V</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X线球管:</w:t>
            </w:r>
          </w:p>
        </w:tc>
        <w:tc>
          <w:tcPr>
            <w:tcW w:w="1807" w:type="dxa"/>
            <w:vAlign w:val="bottom"/>
          </w:tcPr>
          <w:p>
            <w:pPr>
              <w:spacing w:line="320" w:lineRule="exact"/>
              <w:rPr>
                <w:rFonts w:hint="eastAsia" w:ascii="仿宋" w:hAnsi="仿宋" w:eastAsia="仿宋" w:cs="仿宋"/>
                <w:b w:val="0"/>
                <w:bCs w:val="0"/>
                <w:sz w:val="24"/>
                <w:szCs w:val="24"/>
                <w:lang w:val="en-US" w:eastAsia="zh-CN"/>
              </w:rPr>
            </w:pP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阳极材料</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钨靶</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球管阳极热容量</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≥300KHU</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阳极靶角</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10°/16°</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焦点</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大焦点：0.3；小焦点：0.1</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管电流</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大焦点：80—100 mA ，25—35 kV                                  小焦点：32—40 mA ，25—35 kV</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管电压</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＞48kv</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曝光系统：</w:t>
            </w:r>
          </w:p>
        </w:tc>
        <w:tc>
          <w:tcPr>
            <w:tcW w:w="1807" w:type="dxa"/>
            <w:vAlign w:val="center"/>
          </w:tcPr>
          <w:p>
            <w:pPr>
              <w:spacing w:line="320" w:lineRule="exact"/>
              <w:rPr>
                <w:rFonts w:hint="eastAsia" w:ascii="仿宋" w:hAnsi="仿宋" w:eastAsia="仿宋" w:cs="仿宋"/>
                <w:b w:val="0"/>
                <w:bCs w:val="0"/>
                <w:sz w:val="24"/>
                <w:szCs w:val="24"/>
                <w:lang w:val="en-US" w:eastAsia="zh-CN"/>
              </w:rPr>
            </w:pP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根据乳腺压迫厚度和密度全自动选择Kv,mAS</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手动曝光</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人工设置kv, mAs</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AOP全自动平板探测不需电离室设置</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滤线栅</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带碳元素活动滤线栅, 有效栅比：≥3.5∶1，曝光自动同步, ≥41线/cm</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准直器</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视野指示灯</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压迫系统</w:t>
            </w:r>
          </w:p>
        </w:tc>
        <w:tc>
          <w:tcPr>
            <w:tcW w:w="1807" w:type="dxa"/>
            <w:vAlign w:val="center"/>
          </w:tcPr>
          <w:p>
            <w:pPr>
              <w:spacing w:line="320" w:lineRule="exact"/>
              <w:rPr>
                <w:rFonts w:hint="eastAsia" w:ascii="仿宋" w:hAnsi="仿宋" w:eastAsia="仿宋" w:cs="仿宋"/>
                <w:b w:val="0"/>
                <w:bCs w:val="0"/>
                <w:sz w:val="24"/>
                <w:szCs w:val="24"/>
                <w:lang w:val="en-US" w:eastAsia="zh-CN"/>
              </w:rPr>
            </w:pP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自动压迫</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自动解压系统</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压迫板</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显示压迫厚度和压力</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数字化系统：</w:t>
            </w:r>
          </w:p>
        </w:tc>
        <w:tc>
          <w:tcPr>
            <w:tcW w:w="1807" w:type="dxa"/>
            <w:vAlign w:val="center"/>
          </w:tcPr>
          <w:p>
            <w:pPr>
              <w:spacing w:line="320" w:lineRule="exact"/>
              <w:rPr>
                <w:rFonts w:hint="eastAsia" w:ascii="仿宋" w:hAnsi="仿宋" w:eastAsia="仿宋" w:cs="仿宋"/>
                <w:b w:val="0"/>
                <w:bCs w:val="0"/>
                <w:sz w:val="24"/>
                <w:szCs w:val="24"/>
                <w:lang w:val="en-US" w:eastAsia="zh-CN"/>
              </w:rPr>
            </w:pP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探测器</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非晶硅碘化铯平板探测器，与乳腺机是同一品牌</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量子捕获效率DQE</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≥71%at 0.5lp/mm</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探测器面积</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＞23cmx29cm</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采集矩阵</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≥2800x2300</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灰阶深度</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≥14bit</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采集工作站</w:t>
            </w:r>
          </w:p>
        </w:tc>
        <w:tc>
          <w:tcPr>
            <w:tcW w:w="1807" w:type="dxa"/>
            <w:vAlign w:val="center"/>
          </w:tcPr>
          <w:p>
            <w:pPr>
              <w:spacing w:line="320" w:lineRule="exact"/>
              <w:rPr>
                <w:rFonts w:hint="eastAsia" w:ascii="仿宋" w:hAnsi="仿宋" w:eastAsia="仿宋" w:cs="仿宋"/>
                <w:b w:val="0"/>
                <w:bCs w:val="0"/>
                <w:sz w:val="24"/>
                <w:szCs w:val="24"/>
                <w:lang w:val="en-US" w:eastAsia="zh-CN"/>
              </w:rPr>
            </w:pP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bottom"/>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采集工作站硬盘</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≥1TB</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bottom"/>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采集工作站内存</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≥4GB</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显示器</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≥23寸 ，2M（必须提供datasheet证明文件）</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显示器分辨率</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1920 x 1080彩色显示（必须提供datasheet证明文件）</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输出接口：Dicom 3.0通用数字输出接口</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采集采集工作站可提供图像导出（CD、DVD、USB）功能</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提供（需提供证明文件）</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图像后处理</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 xml:space="preserve">放大、增强、反转、(距离、角度)测量、直方图、窗宽、窗位、多幅显示等，实用性好，操作简便，有各种处理及测量功能和分析软件 </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支持DICOM3.0、RIS、HIS、DICOM3.0激光打印接口</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支持</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曝光后工作站显像时间</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≤10秒</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曝光后间隔时间</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＜11秒</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每位患者4个标准体位检查时间</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＜3分钟（必须提供datasheet证明文件）</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每小时检查患者（4个标准体位）数量</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＞17人（必须提供datasheet证明文件）</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假体乳腺处理功能</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乳腺智能辅助分析系统通过CFDA（NMPA）认证的乳腺专业影像处理系统</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提供CFDA（NMPA）认证证书，且适用范围必须需满足乳腺X射线影像的处理，实现乳腺X影像智能分析等功能，非其他类型</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系统软件具备良好稳定的架构设计，支持各终端用户实时访问需求</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系统提供DICOM3.0连接功能，可实现与医院现有PACS/RIS系统无缝集成</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支持与医院其他现有系统的数据集成</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提供医院所需接口的标准定制服务</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系统为全中文应用界面</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具备</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服务器支持接收从影像设备推送的影像数据</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服务器支持接收从PACS系统推送的影像数据</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拉取数据</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用户管理</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角色管理</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影像归档</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日志管理</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病例重算</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支持手工上传影像数据</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支持以不同的序列方式打开影像</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支持以不同的窗口布局打开影像</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支持</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调整窗宽窗位</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图像移动</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提供，可整体移动目标窗口内影像</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图像缩放</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提供，对目标影像进行等比例缩放</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放大镜功能</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提供，可对局部影像进行放大显示</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探照灯功能</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提供，对选择区域图像进行对比度增强显示</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交叉定位功能</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提供，点击乳腺腺体内感兴趣区域，同侧乳腺其他投照位给出对应感兴趣可能区间范围</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反片功能</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提供图像黑白反片模式</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图像旋转</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提供，图像可水平翻转、竖直翻转</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联动功能</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提供图像联动模式</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重置功能</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提供，重置当前选中、重置全部影像</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显示及隐藏病灶标记</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提供，显示/隐藏影像上的标记框，方便医生阅览</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显示及隐藏四角信息</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提供，显示/隐藏影像基本信息，如窗宽、窗位、患者信息、图像比例等信息</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竖屏布局</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提供，可切换横屏/竖屏显示</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全屏模式</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提供定制化报告服务</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提供，提供图文报告、纯文字报告等报告模板</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自定义设置快捷键</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自定义设置阅片界面布局</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提供，支持后台设置标准版、报告版页面模式</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影像检测功能</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提供，乳腺异常影像自动检测及标记</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腺体实质分类功能</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提供，自动分析乳腺腺体实质构成分类</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病灶数目统计功能</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提供，提示检出病灶总数</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病灶定位功能</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病灶类型分析参考</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提供病灶类型分析参考</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病灶良恶性分析</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根据病灶特征分析提供良恶性参考</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清除标记</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提供，可手动删除已标记信息</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影像所见</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提供对于AI计算的病灶特征进行影像学描述，包括病灶位置、类型等</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影像意见参考</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提供病灶影像意见</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保存修改信息功能</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提供，修改显示信息，提交修改信息，可保存至数据库</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自动生成报告</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自动生成结构化报告，并支持直接打印输出</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高并发数据传输</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配置环境下，最大并发量时乳腺X线影像传输时间小于50秒</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自动检测标记病灶时间</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乳腺病灶自动检测标记时间≤120秒</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内存</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≥16GB</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固态硬盘</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≥128G</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机械硬盘</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≥2T</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网卡</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≥100Mbps</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机箱</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提供，塔式机箱</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GPU</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显存≥8GB 计算能力不低于GeForce RTX2070</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接口</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≥4</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USB 2.0 接口</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USB 3.0 接口</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DVI接口</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HDMI接口</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DP</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多客户端支持</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显示器</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＞23寸 ，3M</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显示器分辨率</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2560 x 1440彩色显示</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辅助屏幕</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支持外接医用显示器</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提供所投机型的原厂英文数据参数</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Datasheet，如果应标参数与原厂英文数据参数不一致时,以英文数据参数为准.</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维修及售后服务：</w:t>
            </w:r>
          </w:p>
        </w:tc>
        <w:tc>
          <w:tcPr>
            <w:tcW w:w="1807" w:type="dxa"/>
            <w:vAlign w:val="center"/>
          </w:tcPr>
          <w:p>
            <w:pPr>
              <w:spacing w:line="320" w:lineRule="exact"/>
              <w:rPr>
                <w:rFonts w:hint="eastAsia" w:ascii="仿宋" w:hAnsi="仿宋" w:eastAsia="仿宋" w:cs="仿宋"/>
                <w:b w:val="0"/>
                <w:bCs w:val="0"/>
                <w:sz w:val="24"/>
                <w:szCs w:val="24"/>
                <w:lang w:val="en-US" w:eastAsia="zh-CN"/>
              </w:rPr>
            </w:pP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国内原厂专业工程师提供维修服务。</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提供</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可提供远程在线技术支持</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在线技术支持，非电话支持（必须提供证明文件）</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保税库</w:t>
            </w:r>
          </w:p>
        </w:tc>
        <w:tc>
          <w:tcPr>
            <w:tcW w:w="1807" w:type="dxa"/>
            <w:vAlign w:val="center"/>
          </w:tcPr>
          <w:p>
            <w:pPr>
              <w:spacing w:line="320" w:lineRule="exact"/>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≥100万美元规模的配件保税库</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tcPr>
          <w:p>
            <w:pPr>
              <w:spacing w:line="320" w:lineRule="exact"/>
              <w:rPr>
                <w:rFonts w:ascii="仿宋" w:hAnsi="仿宋" w:eastAsia="仿宋"/>
                <w:b w:val="0"/>
                <w:bCs/>
                <w:szCs w:val="21"/>
              </w:rPr>
            </w:pPr>
          </w:p>
        </w:tc>
        <w:tc>
          <w:tcPr>
            <w:tcW w:w="1807"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default" w:ascii="仿宋" w:hAnsi="仿宋" w:eastAsia="仿宋" w:cs="仿宋"/>
                <w:b w:val="0"/>
                <w:bCs w:val="0"/>
                <w:kern w:val="2"/>
                <w:sz w:val="24"/>
                <w:szCs w:val="24"/>
                <w:lang w:val="en-US" w:eastAsia="zh-CN" w:bidi="ar-SA"/>
              </w:rPr>
              <w:t>售后服务要求：整机免费保修</w:t>
            </w:r>
            <w:r>
              <w:rPr>
                <w:rFonts w:hint="eastAsia" w:ascii="仿宋" w:hAnsi="仿宋" w:eastAsia="仿宋" w:cs="仿宋"/>
                <w:b w:val="0"/>
                <w:bCs w:val="0"/>
                <w:kern w:val="2"/>
                <w:sz w:val="24"/>
                <w:szCs w:val="24"/>
                <w:lang w:val="en-US" w:eastAsia="zh-CN" w:bidi="ar-SA"/>
              </w:rPr>
              <w:t>三</w:t>
            </w:r>
            <w:r>
              <w:rPr>
                <w:rFonts w:hint="default" w:ascii="仿宋" w:hAnsi="仿宋" w:eastAsia="仿宋" w:cs="仿宋"/>
                <w:b w:val="0"/>
                <w:bCs w:val="0"/>
                <w:kern w:val="2"/>
                <w:sz w:val="24"/>
                <w:szCs w:val="24"/>
                <w:lang w:val="en-US" w:eastAsia="zh-CN" w:bidi="ar-SA"/>
              </w:rPr>
              <w:t>年</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pPr>
              <w:numPr>
                <w:ilvl w:val="0"/>
                <w:numId w:val="2"/>
              </w:numPr>
              <w:spacing w:line="320" w:lineRule="exact"/>
              <w:ind w:left="425" w:leftChars="0" w:hanging="425" w:firstLineChars="0"/>
              <w:rPr>
                <w:rFonts w:ascii="仿宋" w:hAnsi="仿宋" w:eastAsia="仿宋"/>
                <w:b w:val="0"/>
                <w:bCs/>
                <w:szCs w:val="21"/>
              </w:rPr>
            </w:pPr>
          </w:p>
        </w:tc>
        <w:tc>
          <w:tcPr>
            <w:tcW w:w="1722" w:type="dxa"/>
          </w:tcPr>
          <w:p>
            <w:pPr>
              <w:spacing w:line="320" w:lineRule="exact"/>
              <w:rPr>
                <w:rFonts w:ascii="仿宋" w:hAnsi="仿宋" w:eastAsia="仿宋"/>
                <w:b w:val="0"/>
                <w:bCs/>
                <w:szCs w:val="21"/>
              </w:rPr>
            </w:pPr>
          </w:p>
        </w:tc>
        <w:tc>
          <w:tcPr>
            <w:tcW w:w="1807"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996" w:type="dxa"/>
          </w:tcPr>
          <w:p>
            <w:pPr>
              <w:spacing w:line="320" w:lineRule="exact"/>
              <w:rPr>
                <w:rFonts w:ascii="仿宋" w:hAnsi="仿宋" w:eastAsia="仿宋"/>
                <w:b w:val="0"/>
                <w:bCs/>
                <w:szCs w:val="21"/>
              </w:rPr>
            </w:pPr>
          </w:p>
        </w:tc>
        <w:tc>
          <w:tcPr>
            <w:tcW w:w="769" w:type="dxa"/>
          </w:tcPr>
          <w:p>
            <w:pPr>
              <w:spacing w:line="320" w:lineRule="exact"/>
              <w:rPr>
                <w:rFonts w:ascii="仿宋" w:hAnsi="仿宋" w:eastAsia="仿宋"/>
                <w:b w:val="0"/>
                <w:bCs/>
                <w:szCs w:val="21"/>
              </w:rPr>
            </w:pPr>
          </w:p>
        </w:tc>
        <w:tc>
          <w:tcPr>
            <w:tcW w:w="1867" w:type="dxa"/>
          </w:tcPr>
          <w:p>
            <w:pPr>
              <w:spacing w:line="320" w:lineRule="exact"/>
              <w:rPr>
                <w:rFonts w:ascii="仿宋" w:hAnsi="仿宋" w:eastAsia="仿宋"/>
                <w:b w:val="0"/>
                <w:bCs/>
                <w:szCs w:val="21"/>
              </w:rPr>
            </w:pPr>
          </w:p>
        </w:tc>
        <w:tc>
          <w:tcPr>
            <w:tcW w:w="1836"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GE汉仪中圆简">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GE Inspira Pitch">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9830ACC"/>
    <w:multiLevelType w:val="singleLevel"/>
    <w:tmpl w:val="49830ACC"/>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CF90CDB"/>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1206</Words>
  <Characters>1254</Characters>
  <Lines>6</Lines>
  <Paragraphs>1</Paragraphs>
  <TotalTime>2</TotalTime>
  <ScaleCrop>false</ScaleCrop>
  <LinksUpToDate>false</LinksUpToDate>
  <CharactersWithSpaces>1416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2022-10-03T00:56:06Z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