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宋体" w:hAnsi="宋体" w:eastAsia="宋体" w:cs="宋体"/>
          <w:sz w:val="32"/>
          <w:szCs w:val="32"/>
          <w:u w:val="single"/>
        </w:rPr>
        <w:t>荧光定量PCR仪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9"/>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bookmarkStart w:id="0" w:name="_GoBack" w:colFirst="2" w:colLast="2"/>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样本容量:≥48孔；</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适用耗材：0.2ml的48以上孔板、8联管，单管(乳白色管、透明管、磨砂管均可适用)；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检测通道:≥4；</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反应体系：5～100μl；</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光源：高亮长寿命免维护LED光源；</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检测器：光电二极管（PD）</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荧光检测方式：顶部激发、顶部扫描；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样本检测重复性：CT值CV≤0.5%；样本线性：丨r丨≥0.999</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热盖温度：室温～110℃；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模块控温原理：Peltier效应，半导体制冷技术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模块温度：0～100℃；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温度均匀性：±0.1℃；</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温度准确度：≤±0.1℃；</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温度速率：最大升温速度：≥6.1℃/s；最大降温速度：≥5.0℃/s；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梯度温度：12列温度梯度，宽度：1℃～40℃；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线性范围：1～1010copies；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操控方式：多种操作方式可供选择；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单机运行：8英寸触摸屏及软件系统可新建实验并运行；</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PC直连：仪器通过点对点网络与PC连接后，利用电脑上的应用软件实现实验设置、运行监控、数据分析等操作；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局域网接入：通过对仪器的网络参数进行设置，可将仪器接入本地局域网内，从而实现局域网内的任何一台电脑对仪器的运行监控、数据同步及分析等操作；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自动样本仓：样本仓可由触摸屏控制自动弹出/关闭，弹出状态时轻触样本仓可自动关闭；</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软件分析功能：定性分析、绝对定量分析、相对定量分析、终点荧光分析、熔解曲线分析、SNP分析、高分辨率熔解曲线（HRM）等；</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LIS功能：可导出CSV、Excel、TXT等格式，开放数据端口，同步支持与LIS系统互联；</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报告自定义功能：预存多种行业实验报告模板；全开放式万能报表功能，用户可自定义报告内容及形式；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实验数据在仪器内实时保存，且具备断电再来电时自动恢复实验功能，无需等待PC电脑及软件打开，即可独立运行继续进行未完成实验，以避免实验数据丢失及试剂损失；</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2"/>
              <w:numPr>
                <w:ilvl w:val="0"/>
                <w:numId w:val="0"/>
              </w:numPr>
              <w:spacing w:line="360" w:lineRule="auto"/>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附：PCR试剂报价（每人份)人类NRAS基因检测试剂盒、人类EML4-ALK融合基因检测试剂盒、人类EGFR基因突变检测试剂盒、人类BRAF基因突变检测试剂盒、人类PIK3CA基因突变检测试剂盒、人类KRAS基因检测突变检测试剂盒、人类ROS1融合基因检测试剂盒、人类MGMT基因甲基化检测试剂盒、人类ApoE基因多态性检测试剂盒、人类ALDH2基因多态性检测试剂盒、人类CYP2C19基因多态性检测试剂盒、人类VKORC1和CYP2C9基因多态性检测试剂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2"/>
              <w:numPr>
                <w:ilvl w:val="0"/>
                <w:numId w:val="0"/>
              </w:numPr>
              <w:spacing w:line="320" w:lineRule="exact"/>
              <w:ind w:leftChars="0"/>
              <w:rPr>
                <w:rFonts w:hint="eastAsia"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售后服务要求：整机免费保修</w:t>
            </w:r>
            <w:r>
              <w:rPr>
                <w:rFonts w:hint="eastAsia" w:ascii="仿宋" w:hAnsi="仿宋" w:eastAsia="仿宋" w:cs="仿宋"/>
                <w:b w:val="0"/>
                <w:bCs w:val="0"/>
                <w:kern w:val="2"/>
                <w:sz w:val="24"/>
                <w:szCs w:val="24"/>
                <w:lang w:val="en-US" w:eastAsia="zh-CN" w:bidi="ar-SA"/>
              </w:rPr>
              <w:t>三</w:t>
            </w:r>
            <w:r>
              <w:rPr>
                <w:rFonts w:hint="default" w:ascii="仿宋" w:hAnsi="仿宋" w:eastAsia="仿宋" w:cs="仿宋"/>
                <w:b w:val="0"/>
                <w:bCs w:val="0"/>
                <w:kern w:val="2"/>
                <w:sz w:val="24"/>
                <w:szCs w:val="24"/>
                <w:lang w:val="en-US" w:eastAsia="zh-CN" w:bidi="ar-SA"/>
              </w:rPr>
              <w:t>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bookmarkEnd w:id="0"/>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9"/>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AF2CF"/>
    <w:multiLevelType w:val="singleLevel"/>
    <w:tmpl w:val="868AF2CF"/>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16376"/>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24F8"/>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Body Text"/>
    <w:basedOn w:val="1"/>
    <w:next w:val="5"/>
    <w:qFormat/>
    <w:uiPriority w:val="0"/>
    <w:pPr>
      <w:spacing w:after="120"/>
    </w:pPr>
  </w:style>
  <w:style w:type="paragraph" w:customStyle="1" w:styleId="5">
    <w:name w:val="style4"/>
    <w:basedOn w:val="1"/>
    <w:next w:val="6"/>
    <w:qFormat/>
    <w:uiPriority w:val="0"/>
    <w:pPr>
      <w:widowControl/>
      <w:spacing w:before="280" w:after="280"/>
    </w:pPr>
    <w:rPr>
      <w:rFonts w:ascii="宋体" w:hAnsi="Times New Roman" w:eastAsia="宋体" w:cs="Times New Roman"/>
      <w:sz w:val="18"/>
    </w:rPr>
  </w:style>
  <w:style w:type="paragraph" w:customStyle="1" w:styleId="6">
    <w:name w:val="2"/>
    <w:next w:val="1"/>
    <w:qFormat/>
    <w:uiPriority w:val="0"/>
    <w:pPr>
      <w:widowControl w:val="0"/>
      <w:jc w:val="both"/>
    </w:pPr>
    <w:rPr>
      <w:rFonts w:ascii="Calibri" w:hAnsi="Calibri" w:eastAsia="宋体" w:cs="Times New Roman"/>
      <w:sz w:val="21"/>
      <w:szCs w:val="22"/>
      <w:lang w:val="en-US" w:eastAsia="zh-CN" w:bidi="ar-SA"/>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4"/>
    <w:unhideWhenUsed/>
    <w:qFormat/>
    <w:uiPriority w:val="99"/>
    <w:pPr>
      <w:ind w:firstLine="420" w:firstLineChars="100"/>
    </w:pPr>
    <w:rPr>
      <w:rFonts w:ascii="Times New Roman" w:hAnsi="Times New Roman"/>
      <w:kern w:val="0"/>
      <w:sz w:val="20"/>
      <w:szCs w:val="20"/>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2060</Words>
  <Characters>2221</Characters>
  <Lines>6</Lines>
  <Paragraphs>1</Paragraphs>
  <TotalTime>0</TotalTime>
  <ScaleCrop>false</ScaleCrop>
  <LinksUpToDate>false</LinksUpToDate>
  <CharactersWithSpaces>2408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2022-10-01T03:55:28Z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