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耳内镜水下灌注等离子手术系统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4"/>
          <w:rFonts w:hint="eastAsia" w:ascii="仿宋" w:hAnsi="仿宋" w:eastAsia="仿宋" w:cs="仿宋"/>
          <w:b w:val="0"/>
          <w:bCs/>
          <w:color w:val="auto"/>
          <w:sz w:val="21"/>
          <w:szCs w:val="21"/>
          <w:lang w:eastAsia="zh-CN"/>
        </w:rPr>
        <w:t>具备</w:t>
      </w:r>
      <w:r>
        <w:rPr>
          <w:rStyle w:val="14"/>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4"/>
          <w:rFonts w:hint="eastAsia" w:ascii="仿宋" w:hAnsi="仿宋" w:eastAsia="仿宋" w:cs="仿宋"/>
          <w:b/>
          <w:bCs w:val="0"/>
          <w:color w:val="auto"/>
          <w:sz w:val="21"/>
          <w:szCs w:val="21"/>
          <w:lang w:eastAsia="zh-CN"/>
        </w:rPr>
        <w:t>或具备</w:t>
      </w:r>
      <w:r>
        <w:rPr>
          <w:rStyle w:val="14"/>
          <w:rFonts w:hint="eastAsia" w:ascii="仿宋" w:hAnsi="仿宋" w:eastAsia="仿宋" w:cs="仿宋"/>
          <w:b/>
          <w:bCs w:val="0"/>
          <w:color w:val="auto"/>
          <w:sz w:val="21"/>
          <w:szCs w:val="21"/>
          <w:lang w:val="en-US" w:eastAsia="zh-CN"/>
        </w:rPr>
        <w:t>CMA【或CNAS】资质检测机构）</w:t>
      </w:r>
      <w:r>
        <w:rPr>
          <w:rStyle w:val="14"/>
          <w:rFonts w:hint="eastAsia" w:ascii="仿宋" w:hAnsi="仿宋" w:eastAsia="仿宋" w:cs="仿宋"/>
          <w:b w:val="0"/>
          <w:bCs/>
          <w:color w:val="auto"/>
          <w:sz w:val="21"/>
          <w:szCs w:val="21"/>
          <w:lang w:val="en-US" w:eastAsia="zh-CN"/>
        </w:rPr>
        <w:t>出具的</w:t>
      </w:r>
      <w:r>
        <w:rPr>
          <w:rStyle w:val="14"/>
          <w:rFonts w:hint="eastAsia" w:ascii="仿宋" w:hAnsi="仿宋" w:eastAsia="仿宋" w:cs="仿宋"/>
          <w:b w:val="0"/>
          <w:bCs/>
          <w:color w:val="auto"/>
          <w:sz w:val="21"/>
          <w:szCs w:val="21"/>
        </w:rPr>
        <w:t>质检报告原件扫描件</w:t>
      </w:r>
      <w:r>
        <w:rPr>
          <w:rStyle w:val="14"/>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4"/>
          <w:rFonts w:hint="eastAsia" w:ascii="仿宋" w:hAnsi="仿宋" w:eastAsia="仿宋" w:cs="仿宋"/>
          <w:b w:val="0"/>
          <w:bCs/>
          <w:color w:val="auto"/>
          <w:sz w:val="21"/>
          <w:szCs w:val="21"/>
        </w:rPr>
        <w:t>食药监局</w:t>
      </w:r>
      <w:r>
        <w:rPr>
          <w:rStyle w:val="14"/>
          <w:rFonts w:hint="eastAsia" w:ascii="仿宋" w:hAnsi="仿宋" w:eastAsia="仿宋" w:cs="仿宋"/>
          <w:b w:val="0"/>
          <w:bCs/>
          <w:color w:val="auto"/>
          <w:sz w:val="21"/>
          <w:szCs w:val="21"/>
          <w:lang w:eastAsia="zh-CN"/>
        </w:rPr>
        <w:t>或</w:t>
      </w:r>
      <w:r>
        <w:rPr>
          <w:rStyle w:val="14"/>
          <w:rFonts w:hint="eastAsia" w:ascii="仿宋" w:hAnsi="仿宋" w:eastAsia="仿宋" w:cs="仿宋"/>
          <w:b w:val="0"/>
          <w:bCs/>
          <w:color w:val="auto"/>
          <w:sz w:val="21"/>
          <w:szCs w:val="21"/>
        </w:rPr>
        <w:t>其下属单位</w:t>
      </w:r>
      <w:r>
        <w:rPr>
          <w:rStyle w:val="14"/>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7"/>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9"/>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2976"/>
        <w:gridCol w:w="1065"/>
        <w:gridCol w:w="825"/>
        <w:gridCol w:w="99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85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2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99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97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25" w:type="dxa"/>
            <w:vMerge w:val="continue"/>
          </w:tcPr>
          <w:p>
            <w:pPr>
              <w:spacing w:line="320" w:lineRule="exact"/>
              <w:rPr>
                <w:rFonts w:ascii="仿宋" w:hAnsi="仿宋" w:eastAsia="仿宋"/>
                <w:b w:val="0"/>
                <w:bCs/>
                <w:szCs w:val="21"/>
              </w:rPr>
            </w:pPr>
          </w:p>
        </w:tc>
        <w:tc>
          <w:tcPr>
            <w:tcW w:w="99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bookmarkStart w:id="0" w:name="_GoBack" w:colFirst="0" w:colLast="0"/>
          </w:p>
        </w:tc>
        <w:tc>
          <w:tcPr>
            <w:tcW w:w="1134" w:type="dxa"/>
          </w:tcPr>
          <w:p>
            <w:pPr>
              <w:keepNext w:val="0"/>
              <w:keepLines w:val="0"/>
              <w:pageBreakBefore w:val="0"/>
              <w:widowControl w:val="0"/>
              <w:numPr>
                <w:ilvl w:val="0"/>
                <w:numId w:val="0"/>
              </w:numPr>
              <w:kinsoku/>
              <w:wordWrap/>
              <w:overflowPunct/>
              <w:topLinePunct w:val="0"/>
              <w:autoSpaceDE/>
              <w:autoSpaceDN/>
              <w:bidi w:val="0"/>
              <w:adjustRightInd/>
              <w:snapToGrid/>
              <w:spacing w:after="200" w:line="380" w:lineRule="exact"/>
              <w:ind w:left="0" w:leftChars="0" w:firstLine="0"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耳内镜专用手件及耳内镜参数</w:t>
            </w:r>
          </w:p>
          <w:p>
            <w:pPr>
              <w:keepNext w:val="0"/>
              <w:keepLines w:val="0"/>
              <w:pageBreakBefore w:val="0"/>
              <w:widowControl w:val="0"/>
              <w:numPr>
                <w:ilvl w:val="0"/>
                <w:numId w:val="0"/>
              </w:numPr>
              <w:kinsoku/>
              <w:wordWrap/>
              <w:overflowPunct/>
              <w:topLinePunct w:val="0"/>
              <w:autoSpaceDE/>
              <w:autoSpaceDN/>
              <w:bidi w:val="0"/>
              <w:adjustRightInd/>
              <w:snapToGrid/>
              <w:spacing w:after="200" w:line="380" w:lineRule="exact"/>
              <w:ind w:left="0" w:leftChars="0" w:firstLine="0" w:firstLineChars="0"/>
              <w:jc w:val="left"/>
              <w:textAlignment w:val="auto"/>
              <w:rPr>
                <w:rFonts w:hint="eastAsia" w:ascii="仿宋" w:hAnsi="仿宋" w:eastAsia="仿宋" w:cs="仿宋"/>
                <w:b w:val="0"/>
                <w:bCs w:val="0"/>
                <w:sz w:val="24"/>
                <w:szCs w:val="24"/>
                <w:lang w:val="en-US" w:eastAsia="zh-CN"/>
              </w:rPr>
            </w:pPr>
          </w:p>
        </w:tc>
        <w:tc>
          <w:tcPr>
            <w:tcW w:w="2976" w:type="dxa"/>
          </w:tcPr>
          <w:p>
            <w:pPr>
              <w:keepNext w:val="0"/>
              <w:keepLines w:val="0"/>
              <w:pageBreakBefore w:val="0"/>
              <w:widowControl w:val="0"/>
              <w:numPr>
                <w:ilvl w:val="0"/>
                <w:numId w:val="0"/>
              </w:numPr>
              <w:kinsoku/>
              <w:wordWrap/>
              <w:overflowPunct/>
              <w:topLinePunct w:val="0"/>
              <w:autoSpaceDE/>
              <w:autoSpaceDN/>
              <w:bidi w:val="0"/>
              <w:adjustRightInd/>
              <w:snapToGrid/>
              <w:spacing w:after="200" w:line="380" w:lineRule="exact"/>
              <w:ind w:left="0" w:leftChars="0" w:firstLine="0"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不锈钢水阀，彻底根除了水阀维护繁琐，易损坏的弊病；</w:t>
            </w:r>
          </w:p>
        </w:tc>
        <w:tc>
          <w:tcPr>
            <w:tcW w:w="106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numPr>
                <w:ilvl w:val="0"/>
                <w:numId w:val="0"/>
              </w:numPr>
              <w:kinsoku/>
              <w:wordWrap/>
              <w:overflowPunct/>
              <w:topLinePunct w:val="0"/>
              <w:autoSpaceDE/>
              <w:autoSpaceDN/>
              <w:bidi w:val="0"/>
              <w:adjustRightInd/>
              <w:snapToGrid/>
              <w:spacing w:after="200" w:line="380" w:lineRule="exact"/>
              <w:ind w:left="0" w:leftChars="0" w:firstLine="0" w:firstLineChars="0"/>
              <w:jc w:val="left"/>
              <w:textAlignment w:val="auto"/>
              <w:rPr>
                <w:rFonts w:hint="eastAsia" w:ascii="仿宋" w:hAnsi="仿宋" w:eastAsia="仿宋" w:cs="仿宋"/>
                <w:b w:val="0"/>
                <w:bCs w:val="0"/>
                <w:sz w:val="24"/>
                <w:szCs w:val="24"/>
                <w:lang w:val="en-US" w:eastAsia="zh-CN"/>
              </w:rPr>
            </w:pPr>
          </w:p>
        </w:tc>
        <w:tc>
          <w:tcPr>
            <w:tcW w:w="2976" w:type="dxa"/>
          </w:tcPr>
          <w:p>
            <w:pPr>
              <w:keepNext w:val="0"/>
              <w:keepLines w:val="0"/>
              <w:pageBreakBefore w:val="0"/>
              <w:widowControl w:val="0"/>
              <w:numPr>
                <w:ilvl w:val="0"/>
                <w:numId w:val="0"/>
              </w:numPr>
              <w:kinsoku/>
              <w:wordWrap/>
              <w:overflowPunct/>
              <w:topLinePunct w:val="0"/>
              <w:autoSpaceDE/>
              <w:autoSpaceDN/>
              <w:bidi w:val="0"/>
              <w:adjustRightInd/>
              <w:snapToGrid/>
              <w:spacing w:after="200" w:line="380" w:lineRule="exact"/>
              <w:ind w:left="0" w:leftChars="0" w:firstLine="0"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手件插入部分外径：≤Ø3.5mm  工作长度：100mm   手件总长：120mm</w:t>
            </w:r>
          </w:p>
        </w:tc>
        <w:tc>
          <w:tcPr>
            <w:tcW w:w="106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numPr>
                <w:ilvl w:val="0"/>
                <w:numId w:val="0"/>
              </w:numPr>
              <w:kinsoku/>
              <w:wordWrap/>
              <w:overflowPunct/>
              <w:topLinePunct w:val="0"/>
              <w:autoSpaceDE/>
              <w:autoSpaceDN/>
              <w:bidi w:val="0"/>
              <w:adjustRightInd/>
              <w:snapToGrid/>
              <w:spacing w:after="200" w:line="380" w:lineRule="exact"/>
              <w:ind w:left="0" w:leftChars="0" w:firstLine="0" w:firstLineChars="0"/>
              <w:jc w:val="left"/>
              <w:textAlignment w:val="auto"/>
              <w:rPr>
                <w:rFonts w:hint="eastAsia" w:ascii="仿宋" w:hAnsi="仿宋" w:eastAsia="仿宋" w:cs="仿宋"/>
                <w:b w:val="0"/>
                <w:bCs w:val="0"/>
                <w:sz w:val="24"/>
                <w:szCs w:val="24"/>
                <w:lang w:val="en-US" w:eastAsia="zh-CN"/>
              </w:rPr>
            </w:pPr>
          </w:p>
        </w:tc>
        <w:tc>
          <w:tcPr>
            <w:tcW w:w="2976" w:type="dxa"/>
          </w:tcPr>
          <w:p>
            <w:pPr>
              <w:keepNext w:val="0"/>
              <w:keepLines w:val="0"/>
              <w:pageBreakBefore w:val="0"/>
              <w:widowControl w:val="0"/>
              <w:numPr>
                <w:ilvl w:val="0"/>
                <w:numId w:val="0"/>
              </w:numPr>
              <w:kinsoku/>
              <w:wordWrap/>
              <w:overflowPunct/>
              <w:topLinePunct w:val="0"/>
              <w:autoSpaceDE/>
              <w:autoSpaceDN/>
              <w:bidi w:val="0"/>
              <w:adjustRightInd/>
              <w:snapToGrid/>
              <w:spacing w:after="200" w:line="380" w:lineRule="exact"/>
              <w:ind w:left="0" w:leftChars="0" w:firstLine="0"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镜体外径：Ø3mm  视向角：0度/45度</w:t>
            </w:r>
          </w:p>
        </w:tc>
        <w:tc>
          <w:tcPr>
            <w:tcW w:w="106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numPr>
                <w:ilvl w:val="0"/>
                <w:numId w:val="0"/>
              </w:numPr>
              <w:kinsoku/>
              <w:wordWrap/>
              <w:overflowPunct/>
              <w:topLinePunct w:val="0"/>
              <w:autoSpaceDE/>
              <w:autoSpaceDN/>
              <w:bidi w:val="0"/>
              <w:adjustRightInd/>
              <w:snapToGrid/>
              <w:spacing w:after="200" w:line="380" w:lineRule="exact"/>
              <w:ind w:left="0" w:leftChars="0" w:firstLine="0" w:firstLineChars="0"/>
              <w:jc w:val="left"/>
              <w:textAlignment w:val="auto"/>
              <w:rPr>
                <w:rFonts w:hint="eastAsia" w:ascii="仿宋" w:hAnsi="仿宋" w:eastAsia="仿宋" w:cs="仿宋"/>
                <w:b w:val="0"/>
                <w:bCs w:val="0"/>
                <w:sz w:val="24"/>
                <w:szCs w:val="24"/>
                <w:lang w:val="en-US" w:eastAsia="zh-CN"/>
              </w:rPr>
            </w:pPr>
          </w:p>
        </w:tc>
        <w:tc>
          <w:tcPr>
            <w:tcW w:w="2976" w:type="dxa"/>
          </w:tcPr>
          <w:p>
            <w:pPr>
              <w:keepNext w:val="0"/>
              <w:keepLines w:val="0"/>
              <w:pageBreakBefore w:val="0"/>
              <w:widowControl w:val="0"/>
              <w:numPr>
                <w:ilvl w:val="0"/>
                <w:numId w:val="0"/>
              </w:numPr>
              <w:kinsoku/>
              <w:wordWrap/>
              <w:overflowPunct/>
              <w:topLinePunct w:val="0"/>
              <w:autoSpaceDE/>
              <w:autoSpaceDN/>
              <w:bidi w:val="0"/>
              <w:adjustRightInd/>
              <w:snapToGrid/>
              <w:spacing w:after="200" w:line="380" w:lineRule="exact"/>
              <w:ind w:left="0" w:leftChars="0" w:firstLine="0"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耳内镜手术专用单阀灌注设计，可适用于传统膨腔泵的灌流接口，也适用于等离子专用灌注泵接口。</w:t>
            </w:r>
          </w:p>
        </w:tc>
        <w:tc>
          <w:tcPr>
            <w:tcW w:w="106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numPr>
                <w:ilvl w:val="0"/>
                <w:numId w:val="0"/>
              </w:numPr>
              <w:kinsoku/>
              <w:wordWrap/>
              <w:overflowPunct/>
              <w:topLinePunct w:val="0"/>
              <w:autoSpaceDE/>
              <w:autoSpaceDN/>
              <w:bidi w:val="0"/>
              <w:adjustRightInd/>
              <w:snapToGrid/>
              <w:spacing w:after="200" w:line="380" w:lineRule="exact"/>
              <w:ind w:left="0" w:leftChars="0" w:firstLine="0" w:firstLineChars="0"/>
              <w:jc w:val="left"/>
              <w:textAlignment w:val="auto"/>
              <w:rPr>
                <w:rFonts w:hint="eastAsia" w:ascii="仿宋" w:hAnsi="仿宋" w:eastAsia="仿宋" w:cs="仿宋"/>
                <w:b w:val="0"/>
                <w:bCs w:val="0"/>
                <w:sz w:val="24"/>
                <w:szCs w:val="24"/>
                <w:lang w:val="en-US" w:eastAsia="zh-CN"/>
              </w:rPr>
            </w:pPr>
          </w:p>
        </w:tc>
        <w:tc>
          <w:tcPr>
            <w:tcW w:w="2976" w:type="dxa"/>
          </w:tcPr>
          <w:p>
            <w:pPr>
              <w:keepNext w:val="0"/>
              <w:keepLines w:val="0"/>
              <w:pageBreakBefore w:val="0"/>
              <w:widowControl w:val="0"/>
              <w:numPr>
                <w:ilvl w:val="0"/>
                <w:numId w:val="0"/>
              </w:numPr>
              <w:kinsoku/>
              <w:wordWrap/>
              <w:overflowPunct/>
              <w:topLinePunct w:val="0"/>
              <w:autoSpaceDE/>
              <w:autoSpaceDN/>
              <w:bidi w:val="0"/>
              <w:adjustRightInd/>
              <w:snapToGrid/>
              <w:spacing w:after="200" w:line="380" w:lineRule="exact"/>
              <w:ind w:left="0" w:leftChars="0" w:firstLine="0"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鲁尔接口设计，管路直径小，轻便，一次性使用，无需反复消毒，便于术者长时间手术操作需要。</w:t>
            </w:r>
          </w:p>
        </w:tc>
        <w:tc>
          <w:tcPr>
            <w:tcW w:w="106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numPr>
                <w:ilvl w:val="0"/>
                <w:numId w:val="0"/>
              </w:numPr>
              <w:kinsoku/>
              <w:wordWrap/>
              <w:overflowPunct/>
              <w:topLinePunct w:val="0"/>
              <w:autoSpaceDE/>
              <w:autoSpaceDN/>
              <w:bidi w:val="0"/>
              <w:adjustRightInd/>
              <w:snapToGrid/>
              <w:spacing w:after="200" w:line="380" w:lineRule="exact"/>
              <w:ind w:left="0" w:leftChars="0" w:firstLine="0" w:firstLineChars="0"/>
              <w:jc w:val="left"/>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耳内镜专用灌注泵参数</w:t>
            </w:r>
          </w:p>
          <w:p>
            <w:pPr>
              <w:keepNext w:val="0"/>
              <w:keepLines w:val="0"/>
              <w:pageBreakBefore w:val="0"/>
              <w:widowControl w:val="0"/>
              <w:numPr>
                <w:ilvl w:val="0"/>
                <w:numId w:val="0"/>
              </w:numPr>
              <w:kinsoku/>
              <w:wordWrap/>
              <w:overflowPunct/>
              <w:topLinePunct w:val="0"/>
              <w:autoSpaceDE/>
              <w:autoSpaceDN/>
              <w:bidi w:val="0"/>
              <w:adjustRightInd/>
              <w:snapToGrid/>
              <w:spacing w:after="200" w:line="380" w:lineRule="exact"/>
              <w:ind w:left="0" w:leftChars="0" w:firstLine="0" w:firstLineChars="0"/>
              <w:jc w:val="left"/>
              <w:textAlignment w:val="auto"/>
              <w:rPr>
                <w:rFonts w:hint="eastAsia" w:ascii="仿宋" w:hAnsi="仿宋" w:eastAsia="仿宋" w:cs="仿宋"/>
                <w:b w:val="0"/>
                <w:bCs w:val="0"/>
                <w:sz w:val="24"/>
                <w:szCs w:val="24"/>
                <w:lang w:val="en-US" w:eastAsia="zh-CN"/>
              </w:rPr>
            </w:pPr>
          </w:p>
        </w:tc>
        <w:tc>
          <w:tcPr>
            <w:tcW w:w="2976" w:type="dxa"/>
          </w:tcPr>
          <w:p>
            <w:pPr>
              <w:keepNext w:val="0"/>
              <w:keepLines w:val="0"/>
              <w:pageBreakBefore w:val="0"/>
              <w:widowControl w:val="0"/>
              <w:numPr>
                <w:ilvl w:val="0"/>
                <w:numId w:val="0"/>
              </w:numPr>
              <w:kinsoku/>
              <w:wordWrap/>
              <w:overflowPunct/>
              <w:topLinePunct w:val="0"/>
              <w:autoSpaceDE/>
              <w:autoSpaceDN/>
              <w:bidi w:val="0"/>
              <w:adjustRightInd/>
              <w:snapToGrid/>
              <w:spacing w:after="200" w:line="380" w:lineRule="exact"/>
              <w:ind w:left="0" w:leftChars="0" w:firstLine="0"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适配开展耳内镜手术的灌注泵，流量调节0-280ml/min。通过调节灌注泵后面板的转速调节旋钮，可以设置流量大小，旋钮无极调速，左旋流量减小，右旋流量变大。当左旋至尽头时泵头停止转动，运行状态指示灯熄灭，设备停止工作。</w:t>
            </w:r>
          </w:p>
        </w:tc>
        <w:tc>
          <w:tcPr>
            <w:tcW w:w="106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numPr>
                <w:ilvl w:val="0"/>
                <w:numId w:val="0"/>
              </w:numPr>
              <w:kinsoku/>
              <w:wordWrap/>
              <w:overflowPunct/>
              <w:topLinePunct w:val="0"/>
              <w:autoSpaceDE/>
              <w:autoSpaceDN/>
              <w:bidi w:val="0"/>
              <w:adjustRightInd/>
              <w:snapToGrid/>
              <w:spacing w:after="200" w:line="380" w:lineRule="exact"/>
              <w:ind w:left="0" w:leftChars="0" w:firstLine="0"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耳内镜专用等离子刀头参数</w:t>
            </w:r>
          </w:p>
        </w:tc>
        <w:tc>
          <w:tcPr>
            <w:tcW w:w="2976" w:type="dxa"/>
          </w:tcPr>
          <w:p>
            <w:pPr>
              <w:keepNext w:val="0"/>
              <w:keepLines w:val="0"/>
              <w:pageBreakBefore w:val="0"/>
              <w:widowControl w:val="0"/>
              <w:numPr>
                <w:ilvl w:val="0"/>
                <w:numId w:val="0"/>
              </w:numPr>
              <w:kinsoku/>
              <w:wordWrap/>
              <w:overflowPunct/>
              <w:topLinePunct w:val="0"/>
              <w:autoSpaceDE/>
              <w:autoSpaceDN/>
              <w:bidi w:val="0"/>
              <w:adjustRightInd/>
              <w:snapToGrid/>
              <w:spacing w:after="200" w:line="380" w:lineRule="exact"/>
              <w:ind w:left="0" w:leftChars="0" w:firstLine="0" w:firstLineChars="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刀杆长度100mm，刀杆直径最细端1.4mm，最粗端3mm，前端有勾状、圆环状、剥离子等形状构成，满足皮瓣及组织剥离，瘤体切除等用途。</w:t>
            </w:r>
          </w:p>
          <w:p>
            <w:pPr>
              <w:keepNext w:val="0"/>
              <w:keepLines w:val="0"/>
              <w:pageBreakBefore w:val="0"/>
              <w:widowControl w:val="0"/>
              <w:numPr>
                <w:ilvl w:val="0"/>
                <w:numId w:val="0"/>
              </w:numPr>
              <w:kinsoku/>
              <w:wordWrap/>
              <w:overflowPunct/>
              <w:topLinePunct w:val="0"/>
              <w:autoSpaceDE/>
              <w:autoSpaceDN/>
              <w:bidi w:val="0"/>
              <w:adjustRightInd/>
              <w:snapToGrid/>
              <w:spacing w:after="200" w:line="380" w:lineRule="exact"/>
              <w:ind w:left="0" w:leftChars="0" w:firstLine="0" w:firstLineChars="0"/>
              <w:jc w:val="left"/>
              <w:textAlignment w:val="auto"/>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7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200" w:line="380" w:lineRule="exact"/>
              <w:ind w:left="0" w:leftChars="0" w:firstLine="0" w:firstLineChars="0"/>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整机及配套提供物资免费保修三年（含所有零部件，包括须定期更换零部件）</w:t>
            </w:r>
          </w:p>
        </w:tc>
        <w:tc>
          <w:tcPr>
            <w:tcW w:w="106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2976" w:type="dxa"/>
            <w:vAlign w:val="top"/>
          </w:tcPr>
          <w:p>
            <w:pPr>
              <w:widowControl/>
              <w:numPr>
                <w:ilvl w:val="0"/>
                <w:numId w:val="0"/>
              </w:numPr>
              <w:adjustRightInd w:val="0"/>
              <w:snapToGrid w:val="0"/>
              <w:spacing w:after="200" w:line="320" w:lineRule="exact"/>
              <w:ind w:left="0" w:leftChars="0" w:firstLine="0" w:firstLineChars="0"/>
              <w:jc w:val="lef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25" w:type="dxa"/>
          </w:tcPr>
          <w:p>
            <w:pPr>
              <w:spacing w:line="320" w:lineRule="exact"/>
              <w:rPr>
                <w:rFonts w:ascii="仿宋" w:hAnsi="仿宋" w:eastAsia="仿宋"/>
                <w:b w:val="0"/>
                <w:bCs/>
                <w:szCs w:val="21"/>
              </w:rPr>
            </w:pPr>
          </w:p>
        </w:tc>
        <w:tc>
          <w:tcPr>
            <w:tcW w:w="99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bookmarkEnd w:id="0"/>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9"/>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7"/>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8"/>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8"/>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C5824"/>
    <w:multiLevelType w:val="singleLevel"/>
    <w:tmpl w:val="A07C5824"/>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17558"/>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743F5"/>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unhideWhenUsed/>
    <w:qFormat/>
    <w:uiPriority w:val="99"/>
    <w:pPr>
      <w:ind w:firstLine="420" w:firstLineChars="100"/>
    </w:pPr>
    <w:rPr>
      <w:rFonts w:ascii="Times New Roman" w:hAnsi="Times New Roman"/>
      <w:kern w:val="0"/>
      <w:sz w:val="20"/>
      <w:szCs w:val="20"/>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qFormat/>
    <w:uiPriority w:val="0"/>
  </w:style>
  <w:style w:type="paragraph" w:customStyle="1" w:styleId="15">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1501</Words>
  <Characters>1571</Characters>
  <Lines>6</Lines>
  <Paragraphs>1</Paragraphs>
  <TotalTime>0</TotalTime>
  <ScaleCrop>false</ScaleCrop>
  <LinksUpToDate>false</LinksUpToDate>
  <CharactersWithSpaces>1765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2022-09-30T03:16:56Z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