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bookmarkStart w:id="0" w:name="_GoBack"/>
      <w:r>
        <w:rPr>
          <w:rFonts w:hint="eastAsia" w:ascii="宋体" w:hAnsi="宋体" w:eastAsia="宋体" w:cs="宋体"/>
          <w:b/>
          <w:bCs/>
          <w:kern w:val="0"/>
          <w:sz w:val="21"/>
          <w:szCs w:val="21"/>
          <w:u w:val="single"/>
          <w:lang w:val="en-US" w:eastAsia="zh-CN" w:bidi="hi-IN"/>
        </w:rPr>
        <w:t>超声诊断仪（心脏机）</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916"/>
        <w:gridCol w:w="1125"/>
        <w:gridCol w:w="825"/>
        <w:gridCol w:w="99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5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2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9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9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2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25" w:type="dxa"/>
            <w:vMerge w:val="continue"/>
          </w:tcPr>
          <w:p>
            <w:pPr>
              <w:spacing w:line="320" w:lineRule="exact"/>
              <w:rPr>
                <w:rFonts w:ascii="仿宋" w:hAnsi="仿宋" w:eastAsia="仿宋"/>
                <w:b w:val="0"/>
                <w:bCs/>
                <w:szCs w:val="21"/>
              </w:rPr>
            </w:pPr>
          </w:p>
        </w:tc>
        <w:tc>
          <w:tcPr>
            <w:tcW w:w="99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投标设备基本要求</w:t>
            </w:r>
          </w:p>
        </w:tc>
        <w:tc>
          <w:tcPr>
            <w:tcW w:w="2916" w:type="dxa"/>
          </w:tcPr>
          <w:p>
            <w:pPr>
              <w:spacing w:line="320" w:lineRule="exact"/>
              <w:rPr>
                <w:rFonts w:ascii="仿宋" w:hAnsi="仿宋" w:eastAsia="仿宋"/>
                <w:b w:val="0"/>
                <w:bCs/>
                <w:szCs w:val="21"/>
              </w:rPr>
            </w:pPr>
            <w:r>
              <w:rPr>
                <w:rFonts w:ascii="宋体" w:hAnsi="宋体" w:eastAsia="宋体" w:cs="宋体"/>
                <w:b w:val="0"/>
                <w:bCs w:val="0"/>
                <w:color w:val="auto"/>
                <w:kern w:val="0"/>
                <w:sz w:val="21"/>
                <w:szCs w:val="21"/>
                <w:lang w:val="en-US" w:eastAsia="zh-CN" w:bidi="hi-IN"/>
              </w:rPr>
              <w:t>招标文件中的所有功能和软件必需全部提供，用户无需另外付费，功能缺失按其他投标人分项报价修改其投标总价；设备具备持续升级功能，可选配成人经胸四维相控阵容积探头、儿童经胸四维相控阵容积探头、经食道四维容积探头及相关四维成像支持组件</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宋体" w:hAnsi="宋体" w:eastAsia="宋体" w:cs="宋体"/>
                <w:b/>
                <w:bCs/>
                <w:kern w:val="0"/>
                <w:sz w:val="21"/>
                <w:szCs w:val="21"/>
                <w:lang w:val="en-US" w:eastAsia="zh-CN" w:bidi="hi-IN"/>
              </w:rPr>
            </w:pPr>
          </w:p>
        </w:tc>
        <w:tc>
          <w:tcPr>
            <w:tcW w:w="1134" w:type="dxa"/>
          </w:tcPr>
          <w:p>
            <w:pPr>
              <w:spacing w:line="320" w:lineRule="exact"/>
              <w:rPr>
                <w:rFonts w:ascii="宋体" w:hAnsi="宋体" w:eastAsia="宋体" w:cs="宋体"/>
                <w:b/>
                <w:bCs/>
                <w:kern w:val="0"/>
                <w:sz w:val="21"/>
                <w:szCs w:val="21"/>
                <w:lang w:val="en-US" w:eastAsia="zh-CN" w:bidi="hi-IN"/>
              </w:rPr>
            </w:pPr>
            <w:r>
              <w:rPr>
                <w:rFonts w:ascii="宋体" w:hAnsi="宋体" w:eastAsia="宋体" w:cs="宋体"/>
                <w:b/>
                <w:bCs/>
                <w:kern w:val="0"/>
                <w:sz w:val="21"/>
                <w:szCs w:val="21"/>
                <w:lang w:val="en-US" w:eastAsia="zh-CN" w:bidi="hi-IN"/>
              </w:rPr>
              <w:t>设备用途及说明</w:t>
            </w:r>
          </w:p>
          <w:p>
            <w:pPr>
              <w:spacing w:line="320" w:lineRule="exact"/>
              <w:rPr>
                <w:rFonts w:ascii="宋体" w:hAnsi="宋体" w:eastAsia="宋体" w:cs="宋体"/>
                <w:b/>
                <w:bCs/>
                <w:kern w:val="0"/>
                <w:sz w:val="21"/>
                <w:szCs w:val="21"/>
                <w:lang w:val="en-US" w:eastAsia="zh-CN" w:bidi="hi-IN"/>
              </w:rPr>
            </w:pPr>
          </w:p>
        </w:tc>
        <w:tc>
          <w:tcPr>
            <w:tcW w:w="2916" w:type="dxa"/>
          </w:tcPr>
          <w:p>
            <w:pPr>
              <w:spacing w:line="320" w:lineRule="exact"/>
              <w:rPr>
                <w:rFonts w:ascii="仿宋" w:hAnsi="仿宋" w:eastAsia="仿宋"/>
                <w:b w:val="0"/>
                <w:bCs/>
                <w:szCs w:val="21"/>
              </w:rPr>
            </w:pPr>
            <w:r>
              <w:rPr>
                <w:rFonts w:ascii="宋体" w:hAnsi="宋体" w:eastAsia="宋体" w:cs="宋体"/>
                <w:kern w:val="0"/>
                <w:sz w:val="21"/>
                <w:szCs w:val="21"/>
                <w:lang w:val="en-US" w:eastAsia="zh-CN" w:bidi="hi-IN"/>
              </w:rPr>
              <w:t>以成人心脏、小儿心脏、新生儿心脏和胎儿心脏超声临床诊断应用和相关科研为主，支持经胸和经食管超声心动图成像，覆盖外周血管、腹部、妇产科/盆腔、泌尿系统和前列腺、浅表组织与小器官、儿科、经颅超声、肌骨、体腔超声(经阴道/经直肠)、术中介入超声等检查全面应用;可用于动物实验。</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主要规格及系统概述</w:t>
            </w: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彩色多普勒超声波诊断仪包括：</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≥21.5英寸医用高分辨率OLED显示器，分辨率≥1920×1080；</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≥12.0英寸超高分辨率、多点触控彩色触摸屏；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具备电动控制操作平台，可在上下/左右/前后范围内灵活调节；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具备原始数据处理能力：能对存储后的动静态图像进行增益、彩色显示、多普勒基线位置、时间轴快慢以及多普勒角度校正等参数的调节；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具备超声信号动态宽波束发射与接收系统，采用整场空间像素成像原理成像，一次性成像，无需调节焦点位置和数目，图像区域无聚焦点或聚焦带；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具备智能像素优化技术：提高图像整体空间分辨率、对比分辨率和信噪比；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具备特殊探头技术：具有面阵技术、声能放大、单晶体以及精准温控探头技术。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系统处理通道数或数字通道数≥700万或软波束成像平台或全新一代相干成像CIF</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所有探头均为宽频、多点变频探头，基波频率、基波与谐波成像频率必须具体在屏幕上显示；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具备超清斑点噪声抑制技术；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具备实时空间多角度复合成像，并支持彩色多普勒模式；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具备心肌纹理成像模式或类似技术：可增强瓣膜，腱索及心肌等细节结构的显示能力，该模式可叠加彩色信号，支持实时在机激活切换；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具备高清成像模式：通过双频率复合采集，提高组织分辨率和对比度；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具备复合滤波：通过复合运算，增强组织边界的显示和解剖结构的平滑度；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具备一键式实时自动连续优化图像技术，包括增益、对比度、侧向增益补偿；</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具备实时宽景成像技术或类似技术，可前进和后退；</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具备梯形扩展成像技术或类似技术；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具备心尖扩展成像：相控阵心脏探头采用凸阵扩展技术，实现心尖宽视野显示。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彩色血流成像单元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具有二维彩色模式、能量图模式、速度方差模式、彩色M型模式等多种模式；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具备具体彩色多普勒频率显示，并独立分级可调，≥8级；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具备二维和彩色同步双幅实时显示，亦可应用于冻结和存储的回放图像；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具备组织内彩色优先显示功能，以显示组织内低速血流；</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具备彩色去除功能，能在实时、冻结、存储的图像上独立去除彩色信号；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具备在冻结和回放的彩色模式下，再次调节彩色图谱、编码方式、方差模式、彩色/组织优先、彩色增益、彩色反转、彩色基线、彩色叠加等多项参数，应用于诊断；</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具备彩色帧频独立调节能力；</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具备二维灰阶血流显像或类似技术：非多普勒原理，无取样框，直接提取微弱的血细胞回声进行成像；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具备方向性灰阶血流显像或类似技术：基于灰阶血流信号，同时提供彩色血流方向性显示；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具备内置原厂冠脉血流显像软件，能有效去除心腔彩色噪音，显示冠脉血流；</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血流斑点追踪成像技术或类似技术：通过超高帧频成像对血细胞运动轨迹进行追踪，以线条、颜色、编码显示心腔内血流动力学的真实状态，支持小儿心脏二维探头、新生儿心脏二维探头及经食道心脏容积探头；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血流斑点追踪成像定量技术或类似技术：基于血流斑点追踪成像，可对已捕捉血流信息的面积、时间及距离参数进行定量。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频谱多普勒显示单元及分析系统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具有PW、CW、HPRF、LPRF等多种模式；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HPRF高脉冲重复频率自动启动功能；</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多普勒频率显示、独立可调；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具备自动频谱优化技术，一键控制，自动调整频谱至最佳范围；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具备高性能实时双同步、三同步功能，随时可切换；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具备自动角度纠正功能，以适应不同角度血管检测；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具备实时扫描中的图像参数调节，包括增益、基线位置、时间轴快慢、角度校正、噪音抑制、对比度、彩色图谱等的调节，也同样能应用于已经冻结或存储后的图像；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具备频谱自动分析系统：包括实时自动包络、冻结后自动包络、手动包络；自动计算各血流动力学参数，参数可根据客户需要灵活选择；</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具备心脏频谱自动测量：可对心脏瓣膜彩色血流频谱及组织多普勒频谱进行多个心动周期的识别并命名，同时进行自动测量并将结果导入到报告系统（包括：E峰、A峰、EDT、E’、E/E’、AV Trace等参数）；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组织多普勒成像单元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top"/>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具备实时一键式组织速度成像、组织追踪图成像、组织同步化成像、组织应变及应变率成像；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具有多普勒信号去除功能，能在实时、冻结、存储的图像上独立去除组织多普勒信号；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组织多普勒信号可直接转换为组织追踪图、组织同步化图、应变图和应变率图；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具备在机组织多普勒同步化显像，并具有心肌同步化牛眼图；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具备在机同时显示多个节段的心肌速度曲线、位移曲线、应变及应变率曲线；</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定量曲线能自动导入主动脉瓣及二尖瓣开放关闭时间；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支持实时三平面成像。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组织谐波成像单元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具备编码二次谐波技术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具备编码脉冲反向谐波技术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具备谐波频率和基波频率同时显示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二维、三维超声造影成像单元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编码脉冲反向谐波技术和超声调制信号用于造影剂成像；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支持左心室造影；</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支持血管/腹部造影成像；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支持低机械指数的心肌灌注造影成像；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支持经胸心脏相控阵探头；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支持食道矩阵容积探头（选配食道矩阵容积探头免费开通）；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可支持实时三平面造影（配置容积探头时免费开通）；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具备flash，机械指数可调,可心电触发和时间触发，长度可调；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具有双时钟计时，存储时间长短可调；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可实时前向存储、实时回放存储、编辑后存储等多种方式；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具有在线及离线时间-强度曲线分析工具，能按wash-in/wash-out分析数据；</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分析结果自动导入系统工作表进行存储。</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二维心脏负荷扫查模块。</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测量和分析： (B型、M型、频谱多普勒、彩色多普勒模式)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一般测量功能：直径、面积、体积、狭窄率、压差等；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心脏功能测量与分析；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直线解剖M型和曲线解剖M型；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基于人工智能（AI），自动识别标准切面并选择图像质量最佳的心动周期进行心内膜运动轨迹的追踪，进行二维心功能测量，支持单平面和双平面计算；</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基于二维斑点追踪技术，可直接分析长轴心肌收缩期峰值应变达峰时间、峰值应变离散，提供17和18节段牛眼图显示，以显示和评价心肌二维同步性；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具备专用二维左心房及右心房的定量工具：基于斑点追踪技术，可提供左心房及右心房整体应变数值（包括：储备、管道、收缩期）及应变变化曲线，排空分数及左房及右房容积数据（包括四腔和两腔切面）；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具备专用二维右心室定量工具：基于斑点追踪技术，可提供整体应变（6节段）、游离壁应变（3节段）和三尖瓣位移TAPSE参数；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具备儿科心脏Z-score评分系统；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血流测量与分析: 频谱多普勒实时自动包络，参数可自定义设定；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血管内中膜自动测量:可在同一切面图像上同屏测量一段血管前壁和后壁内中膜厚度，自动优化测量曲线。自动给出分析报告，包括采样点数量、均值与标准差等。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图像存储与（电影）回放重现单元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超声图像静态、动态存储，原始数据回放重现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动态图像、静态图像以AVI、JPEG或MPEGVue格式直接存储于可移动媒介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支持压缩和高清DICOM图像传输</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在屏剪帖板和多画面同屏回放功能，不同检查日期所存的图像可以回放至同一屏幕比较分析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USB接口支持U盘或移动硬盘快速存储屏幕上的图像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参考信号：心电、心音、脉搏波、心电触发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输入/输出信号: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输入：ECG, USB、VGA；</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输出：DVI-D，音频，USB；</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图像管理与记录装置：</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内置图像管理系统；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内置SSD固态硬盘≥1TB；</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可扩展的存储装置：大容量移动硬盘、DVD-RW、DVR等；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连通性：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医学数字图像和通信DICOM3.0版接口部件，支持高清DICOM传输；</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支持局域网/PACS/HIS等直接存储、查询与调阅；</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支持DICOM打印；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技术参数及要求</w:t>
            </w: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系统通用功能</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具备显示器:≥21.5英寸，高分辨率、宽视野、OLED显示器，分辨率≥1920×1080，亮度对比度可根据换机要求自动和手动调节可调。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操作面板具有≥12英寸超高分辨率、多点触控彩色触摸屏，可通过手指进行翻页，直接点击操作菜单、调节参数的触摸屏能进行图管理、图像预览和动态图像播放功能、图像输出操作等。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操作面板两侧有文件放置盒、耦合剂放置区等外部设备</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探头接口：激活探头接口数≥4个。具备致密无针式探头接口技术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触摸屏具有探头接口和探头显示功能、预设条件显示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安全性能：符合国家进口商品安全质量要求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操作平台：可电动控制可在上下/左右/前后范围内灵活调节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探头规格</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频率：所配探头均为宽频带多点变频探头，频率范围1-18MHz（附18MHZ临床图片），中心频率可选择≥4种</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二维、彩色、多普勒均可独立变频；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类型：可支持相控阵探头（成人、儿童、新生儿）、凸阵探头、微凸阵探头、腔内探头、线阵探头、经胸容积探头、经食道容积探头及术中探头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B/D兼用：相控阵B/PWD/CWD，线阵B/PWD，凸阵B/PWD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标配3只探头，探头工作频率范围: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矩阵成人心脏探头：1.5-4.5MHz，必须是纯净波单晶体或冰晶探头或透镜探头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腹部凸阵探头：1.5-6 MHz，必须是纯净波单晶体或冰晶探头或透镜探头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血管/小器官线阵探头：2.5-10MHz</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二维灰阶显像主要参数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成人相控阵探头扫描角度：10°-120°选择（附图）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成像速率: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相控阵探头：90o，18cm深度时，帧速率≥100帧/秒 (附图)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二维灰阶成像≥256灰阶</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支持高清晰局部放大，放大时增加信息量，提高分辨率和帧频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回放重现：灰阶图像回放≥5000幅，允许12窗口同屏回放, 多窗口时允许不同时期的图像和实时图像对比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增益调节：STC分段≥8，B/M可独立调节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二次谐波：所配探头支持二次谐波，相控阵探头谐波数≥6组</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系统最大可视扫描深度≥44cm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频谱多普勒成像参数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方式： PWD, HPRF，LPRF，CWD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多普勒发射频率：扇扫：≥八段；线阵：≥三段；凸阵：≥六段</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最大测量速度：PWD：血流速度≥7.6m/s；CWD：血流速度≥12m/s</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最低测量速度：≤1mm/s(非噪声信号)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显示方式：B、M、B/M、B/M/CFI、B/D、D、B/CFI/D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top"/>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电影回放：≥90秒</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零位移动：≥6级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取样宽度及位置范围：宽度1-16mm；分级可调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显示控制：反转显示(左/右；上/下)、零移位，B—刷新(手控、时间、ECG同步)、D扩展、B/D扩展，局放及移位</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频谱自动包络并完成测量，参数可自定义，可于实时、冻结和回放图像上完成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彩色多普勒成像参数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显示方式：速度显示、能量显示、方差显示、彩色心肌速度多普勒显示、彩色心肌位移多普勒显示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实时二同步/三同步显示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彩色显示帧频： </w:t>
            </w:r>
          </w:p>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相控阵扇扫探头、90°角，18cm深，彩色显示帧频≥18帧/s </w:t>
            </w:r>
          </w:p>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相控阵扇扫探头、90°角，18cm深，彩色组织多普勒帧频≥130帧/s</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显示位置调整：线阵扫描感兴趣的图像范围： -30°- +30°</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显示控制：零位移动分±15级、黑/白与彩色比较、彩色对比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实时组织多普勒速度成像、实时组织多普勒位移成像,可M型、直线解剖M型、曲线解剖M型及频谱分析。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超声功率输出调节:B/M、CWD、PWD、Color Doppler输出功率可调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72619"/>
    <w:multiLevelType w:val="singleLevel"/>
    <w:tmpl w:val="D6672619"/>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381ADE"/>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8B14DB"/>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5527</Words>
  <Characters>5883</Characters>
  <Lines>6</Lines>
  <Paragraphs>1</Paragraphs>
  <TotalTime>3</TotalTime>
  <ScaleCrop>false</ScaleCrop>
  <LinksUpToDate>false</LinksUpToDate>
  <CharactersWithSpaces>6088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2022-07-20T07:34:02Z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