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髋关节外展训练器</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3年以上，保修范围不包含须定期更换零部件，须定期更换零部件报价清单如下...；二是将须定期更换零部件变为耗材，恶意降低货物价格，提高耗材价（或直接提高耗材报价）。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4"/>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1785"/>
        <w:gridCol w:w="2836"/>
        <w:gridCol w:w="855"/>
        <w:gridCol w:w="885"/>
        <w:gridCol w:w="855"/>
        <w:gridCol w:w="1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226"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8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75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75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78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83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pPr>
              <w:spacing w:line="320" w:lineRule="exact"/>
              <w:rPr>
                <w:rFonts w:ascii="仿宋" w:hAnsi="仿宋" w:eastAsia="仿宋"/>
                <w:b w:val="0"/>
                <w:bCs/>
                <w:szCs w:val="21"/>
              </w:rPr>
            </w:pPr>
          </w:p>
        </w:tc>
        <w:tc>
          <w:tcPr>
            <w:tcW w:w="855" w:type="dxa"/>
            <w:vMerge w:val="continue"/>
          </w:tcPr>
          <w:p>
            <w:pPr>
              <w:spacing w:line="320" w:lineRule="exact"/>
              <w:rPr>
                <w:rFonts w:ascii="仿宋" w:hAnsi="仿宋" w:eastAsia="仿宋"/>
                <w:b w:val="0"/>
                <w:bCs/>
                <w:szCs w:val="21"/>
              </w:rPr>
            </w:pPr>
          </w:p>
        </w:tc>
        <w:tc>
          <w:tcPr>
            <w:tcW w:w="175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jc w:val="both"/>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w:t>
            </w:r>
          </w:p>
        </w:tc>
        <w:tc>
          <w:tcPr>
            <w:tcW w:w="1785" w:type="dxa"/>
            <w:vAlign w:val="top"/>
          </w:tcPr>
          <w:p>
            <w:pPr>
              <w:jc w:val="both"/>
              <w:rPr>
                <w:rFonts w:hint="eastAsia" w:ascii="仿宋" w:hAnsi="仿宋" w:eastAsia="仿宋" w:cs="仿宋"/>
                <w:b/>
                <w:bCs w:val="0"/>
                <w:sz w:val="24"/>
                <w:szCs w:val="24"/>
              </w:rPr>
            </w:pPr>
            <w:r>
              <w:rPr>
                <w:rFonts w:hint="eastAsia" w:ascii="仿宋" w:hAnsi="仿宋" w:eastAsia="仿宋" w:cs="仿宋"/>
                <w:b/>
                <w:bCs w:val="0"/>
                <w:sz w:val="24"/>
                <w:szCs w:val="24"/>
                <w:lang w:eastAsia="zh-CN"/>
              </w:rPr>
              <w:t>髋关节外展训练器</w:t>
            </w:r>
          </w:p>
        </w:tc>
        <w:tc>
          <w:tcPr>
            <w:tcW w:w="2836" w:type="dxa"/>
            <w:vAlign w:val="top"/>
          </w:tcPr>
          <w:p>
            <w:pPr>
              <w:spacing w:line="360" w:lineRule="auto"/>
              <w:jc w:val="center"/>
              <w:rPr>
                <w:rFonts w:hint="eastAsia" w:ascii="仿宋" w:hAnsi="仿宋" w:eastAsia="仿宋" w:cs="仿宋"/>
                <w:b w:val="0"/>
                <w:bCs/>
                <w:sz w:val="24"/>
                <w:szCs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显示操作界面</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rPr>
              <w:t>显示操作界面为10寸触摸彩屏</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产品屏幕要求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rPr>
              <w:t>产品屏幕拥有压力显示，压力调整、计数及显示、倒计时、开始、暂停、转换和复位产品说明等窗口</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计数及显示要求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rPr>
              <w:t>计数及显示为设备设定的时间内动作计数，超过设定时间，计数不累加，重新设定时间时计数自动清零</w:t>
            </w:r>
          </w:p>
        </w:tc>
        <w:tc>
          <w:tcPr>
            <w:tcW w:w="855" w:type="dxa"/>
            <w:vAlign w:val="top"/>
          </w:tcPr>
          <w:p>
            <w:pPr>
              <w:spacing w:line="320" w:lineRule="exact"/>
              <w:rPr>
                <w:rFonts w:ascii="仿宋" w:hAnsi="仿宋" w:eastAsia="仿宋" w:cstheme="minorBidi"/>
                <w:b w:val="0"/>
                <w:bCs/>
                <w:kern w:val="2"/>
                <w:sz w:val="21"/>
                <w:szCs w:val="21"/>
                <w:lang w:val="en-US" w:eastAsia="zh-CN" w:bidi="ar-SA"/>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4</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倒计时设定要求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rPr>
              <w:t>倒计时设定间隔为1分钟，倒计时开始，时间结束后，凤鸣声报警</w:t>
            </w:r>
          </w:p>
        </w:tc>
        <w:tc>
          <w:tcPr>
            <w:tcW w:w="855" w:type="dxa"/>
            <w:vAlign w:val="top"/>
          </w:tcPr>
          <w:p>
            <w:pPr>
              <w:spacing w:line="320" w:lineRule="exact"/>
              <w:rPr>
                <w:rFonts w:ascii="仿宋" w:hAnsi="仿宋" w:eastAsia="仿宋" w:cstheme="minorBidi"/>
                <w:b w:val="0"/>
                <w:bCs/>
                <w:kern w:val="2"/>
                <w:sz w:val="21"/>
                <w:szCs w:val="21"/>
                <w:lang w:val="en-US" w:eastAsia="zh-CN" w:bidi="ar-SA"/>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pStyle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设备断电要求</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rPr>
              <w:t>设备断电，自动将储气罐中压缩气体排放</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座面深度</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rPr>
              <w:t>座面深度：350mm，座面宽度410mm，前端座面离地高度610mm，手柄直径38mm，运动部件活动范围0-1400mm，运动部件活动角度0-150°，座椅额定负载175kg，靠背额定负载75kg</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训练部位</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rPr>
              <w:t>训练部位：脊柱肌群、髋关节内收/外展肌群等</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6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训练效果</w:t>
            </w:r>
          </w:p>
        </w:tc>
        <w:tc>
          <w:tcPr>
            <w:tcW w:w="2836" w:type="dxa"/>
            <w:vAlign w:val="top"/>
          </w:tcPr>
          <w:p>
            <w:pPr>
              <w:spacing w:line="360" w:lineRule="auto"/>
              <w:rPr>
                <w:rStyle w:val="19"/>
                <w:rFonts w:hint="eastAsia" w:ascii="仿宋" w:hAnsi="仿宋" w:eastAsia="仿宋" w:cs="仿宋"/>
                <w:b w:val="0"/>
                <w:bCs/>
                <w:sz w:val="24"/>
              </w:rPr>
            </w:pPr>
            <w:r>
              <w:rPr>
                <w:rStyle w:val="19"/>
                <w:rFonts w:hint="eastAsia" w:ascii="仿宋" w:hAnsi="仿宋" w:eastAsia="仿宋" w:cs="仿宋"/>
                <w:b w:val="0"/>
                <w:bCs/>
                <w:sz w:val="24"/>
              </w:rPr>
              <w:t>训练效果：</w:t>
            </w:r>
          </w:p>
          <w:p>
            <w:pPr>
              <w:spacing w:line="360" w:lineRule="auto"/>
              <w:rPr>
                <w:rStyle w:val="19"/>
                <w:rFonts w:hint="eastAsia" w:ascii="仿宋" w:hAnsi="仿宋" w:eastAsia="仿宋" w:cs="仿宋"/>
                <w:b w:val="0"/>
                <w:bCs/>
                <w:sz w:val="24"/>
              </w:rPr>
            </w:pPr>
            <w:r>
              <w:rPr>
                <w:rStyle w:val="19"/>
                <w:rFonts w:hint="eastAsia" w:ascii="仿宋" w:hAnsi="仿宋" w:eastAsia="仿宋" w:cs="仿宋"/>
                <w:b w:val="0"/>
                <w:bCs/>
                <w:sz w:val="24"/>
              </w:rPr>
              <w:t>1）可改善使用者的髋关节的活动范围，运动方向；</w:t>
            </w:r>
          </w:p>
          <w:p>
            <w:pPr>
              <w:spacing w:line="360" w:lineRule="auto"/>
              <w:rPr>
                <w:rStyle w:val="19"/>
                <w:rFonts w:hint="eastAsia" w:ascii="仿宋" w:hAnsi="仿宋" w:eastAsia="仿宋" w:cs="仿宋"/>
                <w:b w:val="0"/>
                <w:bCs/>
                <w:sz w:val="24"/>
              </w:rPr>
            </w:pPr>
            <w:r>
              <w:rPr>
                <w:rStyle w:val="19"/>
                <w:rFonts w:hint="eastAsia" w:ascii="仿宋" w:hAnsi="仿宋" w:eastAsia="仿宋" w:cs="仿宋"/>
                <w:b w:val="0"/>
                <w:bCs/>
                <w:sz w:val="24"/>
              </w:rPr>
              <w:t>2）可以使术后患者进行恢复性锻炼；</w:t>
            </w:r>
          </w:p>
          <w:p>
            <w:pPr>
              <w:spacing w:line="360" w:lineRule="auto"/>
              <w:rPr>
                <w:rFonts w:hint="eastAsia" w:ascii="仿宋" w:hAnsi="仿宋" w:eastAsia="仿宋" w:cs="仿宋"/>
                <w:b w:val="0"/>
                <w:bCs/>
                <w:color w:val="000000"/>
                <w:kern w:val="2"/>
                <w:sz w:val="24"/>
                <w:szCs w:val="24"/>
                <w:lang w:val="en-US" w:eastAsia="zh-CN" w:bidi="ar-SA"/>
              </w:rPr>
            </w:pPr>
            <w:r>
              <w:rPr>
                <w:rStyle w:val="19"/>
                <w:rFonts w:hint="eastAsia" w:ascii="仿宋" w:hAnsi="仿宋" w:eastAsia="仿宋" w:cs="仿宋"/>
                <w:b w:val="0"/>
                <w:bCs/>
                <w:sz w:val="24"/>
              </w:rPr>
              <w:t>3）可改善使用者的大腿内侧肌肉的力量</w:t>
            </w:r>
            <w:r>
              <w:rPr>
                <w:rStyle w:val="19"/>
                <w:rFonts w:hint="eastAsia" w:ascii="仿宋" w:hAnsi="仿宋" w:eastAsia="仿宋" w:cs="仿宋"/>
                <w:b w:val="0"/>
                <w:bCs/>
                <w:sz w:val="24"/>
                <w:lang w:eastAsia="zh-CN"/>
              </w:rPr>
              <w:t>。</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1785" w:type="dxa"/>
            <w:vAlign w:val="top"/>
          </w:tcPr>
          <w:p>
            <w:pPr>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气动阻力控制系统</w:t>
            </w:r>
          </w:p>
        </w:tc>
        <w:tc>
          <w:tcPr>
            <w:tcW w:w="2836" w:type="dxa"/>
            <w:vAlign w:val="top"/>
          </w:tcPr>
          <w:p>
            <w:pPr>
              <w:spacing w:line="360" w:lineRule="auto"/>
              <w:jc w:val="both"/>
              <w:rPr>
                <w:rFonts w:hint="eastAsia" w:ascii="仿宋" w:hAnsi="仿宋" w:eastAsia="仿宋" w:cs="仿宋"/>
                <w:b w:val="0"/>
                <w:bCs/>
                <w:sz w:val="24"/>
                <w:szCs w:val="24"/>
                <w:lang w:eastAsia="zh-CN"/>
              </w:rPr>
            </w:pPr>
            <w:r>
              <w:rPr>
                <w:rStyle w:val="19"/>
                <w:rFonts w:hint="eastAsia" w:ascii="仿宋" w:hAnsi="仿宋" w:eastAsia="仿宋" w:cs="仿宋"/>
                <w:b w:val="0"/>
                <w:bCs/>
                <w:sz w:val="24"/>
              </w:rPr>
              <w:t>气动阻力控制系统，精确到1N可调，连续阻力不间断</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座椅</w:t>
            </w:r>
          </w:p>
        </w:tc>
        <w:tc>
          <w:tcPr>
            <w:tcW w:w="2836" w:type="dxa"/>
          </w:tcPr>
          <w:p>
            <w:pPr>
              <w:spacing w:line="360" w:lineRule="auto"/>
              <w:rPr>
                <w:rFonts w:hint="eastAsia" w:ascii="仿宋" w:hAnsi="仿宋" w:eastAsia="仿宋" w:cs="仿宋"/>
                <w:b w:val="0"/>
                <w:bCs/>
                <w:sz w:val="24"/>
                <w:szCs w:val="24"/>
                <w:lang w:eastAsia="zh-CN"/>
              </w:rPr>
            </w:pPr>
            <w:r>
              <w:rPr>
                <w:rStyle w:val="19"/>
                <w:rFonts w:hint="eastAsia" w:ascii="仿宋" w:hAnsi="仿宋" w:eastAsia="仿宋" w:cs="仿宋"/>
                <w:b w:val="0"/>
                <w:bCs/>
                <w:sz w:val="24"/>
              </w:rPr>
              <w:t>座椅靠背可调节，具有腰部固定带</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1785" w:type="dxa"/>
          </w:tcPr>
          <w:p>
            <w:pPr>
              <w:spacing w:line="320" w:lineRule="exact"/>
              <w:rPr>
                <w:rFonts w:hint="eastAsia" w:ascii="仿宋" w:hAnsi="仿宋" w:eastAsia="仿宋" w:cs="仿宋"/>
                <w:b w:val="0"/>
                <w:bCs/>
                <w:sz w:val="24"/>
                <w:szCs w:val="24"/>
                <w:lang w:eastAsia="zh-CN"/>
              </w:rPr>
            </w:pPr>
            <w:r>
              <w:rPr>
                <w:rStyle w:val="19"/>
                <w:rFonts w:hint="eastAsia" w:ascii="仿宋" w:hAnsi="仿宋" w:eastAsia="仿宋" w:cs="仿宋"/>
                <w:b w:val="0"/>
                <w:bCs/>
                <w:sz w:val="24"/>
                <w:szCs w:val="24"/>
              </w:rPr>
              <w:t>双功能设计</w:t>
            </w:r>
          </w:p>
        </w:tc>
        <w:tc>
          <w:tcPr>
            <w:tcW w:w="2836" w:type="dxa"/>
          </w:tcPr>
          <w:p>
            <w:pPr>
              <w:spacing w:line="360" w:lineRule="auto"/>
              <w:rPr>
                <w:rFonts w:hint="eastAsia" w:ascii="仿宋" w:hAnsi="仿宋" w:eastAsia="仿宋" w:cs="仿宋"/>
                <w:b w:val="0"/>
                <w:bCs/>
                <w:color w:val="000000"/>
                <w:sz w:val="24"/>
                <w:szCs w:val="24"/>
                <w:lang w:eastAsia="zh-CN"/>
              </w:rPr>
            </w:pPr>
            <w:r>
              <w:rPr>
                <w:rStyle w:val="19"/>
                <w:rFonts w:hint="eastAsia" w:ascii="仿宋" w:hAnsi="仿宋" w:eastAsia="仿宋" w:cs="仿宋"/>
                <w:b w:val="0"/>
                <w:bCs/>
                <w:sz w:val="24"/>
              </w:rPr>
              <w:t>双功能设计：可以进行离心和向心两种训练模式，使得同组拮抗肌均衡锻炼，既能做到主动康复，也可以加强对伤病的预防</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关节角度限位器</w:t>
            </w:r>
          </w:p>
        </w:tc>
        <w:tc>
          <w:tcPr>
            <w:tcW w:w="2836" w:type="dxa"/>
          </w:tcPr>
          <w:p>
            <w:pPr>
              <w:spacing w:line="360" w:lineRule="auto"/>
              <w:rPr>
                <w:rFonts w:hint="eastAsia" w:ascii="仿宋" w:hAnsi="仿宋" w:eastAsia="仿宋" w:cs="仿宋"/>
                <w:b w:val="0"/>
                <w:bCs/>
                <w:color w:val="000000"/>
                <w:sz w:val="24"/>
                <w:szCs w:val="24"/>
                <w:lang w:eastAsia="zh-CN"/>
              </w:rPr>
            </w:pPr>
            <w:r>
              <w:rPr>
                <w:rStyle w:val="19"/>
                <w:rFonts w:hint="eastAsia" w:ascii="仿宋" w:hAnsi="仿宋" w:eastAsia="仿宋" w:cs="仿宋"/>
                <w:b w:val="0"/>
                <w:bCs/>
                <w:sz w:val="24"/>
              </w:rPr>
              <w:t>具有关节角度限位器，确保康复者在设定的安全角度内进行康复训练</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评估功能</w:t>
            </w:r>
          </w:p>
        </w:tc>
        <w:tc>
          <w:tcPr>
            <w:tcW w:w="2836" w:type="dxa"/>
          </w:tcPr>
          <w:p>
            <w:pPr>
              <w:spacing w:line="360" w:lineRule="auto"/>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具有最大力量评估功</w:t>
            </w:r>
            <w:r>
              <w:rPr>
                <w:rFonts w:hint="eastAsia" w:ascii="仿宋" w:hAnsi="仿宋" w:eastAsia="仿宋" w:cs="仿宋"/>
                <w:b w:val="0"/>
                <w:bCs/>
                <w:sz w:val="24"/>
                <w:szCs w:val="24"/>
                <w:lang w:eastAsia="zh-CN"/>
              </w:rPr>
              <w:t>能</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4" w:hRule="atLeast"/>
        </w:trPr>
        <w:tc>
          <w:tcPr>
            <w:tcW w:w="75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14</w:t>
            </w:r>
          </w:p>
        </w:tc>
        <w:tc>
          <w:tcPr>
            <w:tcW w:w="1785"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对接管理系统，实时监控等要求</w:t>
            </w:r>
          </w:p>
        </w:tc>
        <w:tc>
          <w:tcPr>
            <w:tcW w:w="2836" w:type="dxa"/>
          </w:tcPr>
          <w:p>
            <w:pPr>
              <w:pStyle w:val="2"/>
              <w:rPr>
                <w:rFonts w:hint="eastAsia" w:ascii="仿宋" w:hAnsi="仿宋" w:eastAsia="仿宋" w:cs="仿宋"/>
                <w:b w:val="0"/>
                <w:bCs/>
                <w:sz w:val="24"/>
                <w:szCs w:val="24"/>
              </w:rPr>
            </w:pPr>
            <w:r>
              <w:rPr>
                <w:rFonts w:hint="eastAsia" w:ascii="仿宋" w:hAnsi="仿宋" w:eastAsia="仿宋" w:cs="仿宋"/>
                <w:b w:val="0"/>
                <w:bCs/>
                <w:sz w:val="24"/>
                <w:szCs w:val="24"/>
              </w:rPr>
              <w:t>可对接管理系统，无线远程下达运动方案，并实时监控运动过程中的心电、血氧、心率等生理参数</w:t>
            </w:r>
            <w:bookmarkStart w:id="0" w:name="_GoBack"/>
            <w:bookmarkEnd w:id="0"/>
          </w:p>
          <w:p>
            <w:pPr>
              <w:spacing w:line="360" w:lineRule="auto"/>
              <w:rPr>
                <w:rFonts w:hint="eastAsia" w:ascii="仿宋" w:hAnsi="仿宋" w:eastAsia="仿宋" w:cs="仿宋"/>
                <w:b w:val="0"/>
                <w:bCs/>
                <w:color w:val="000000"/>
                <w:sz w:val="24"/>
                <w:szCs w:val="24"/>
                <w:lang w:eastAsia="zh-CN"/>
              </w:rPr>
            </w:pPr>
          </w:p>
        </w:tc>
        <w:tc>
          <w:tcPr>
            <w:tcW w:w="855" w:type="dxa"/>
          </w:tcPr>
          <w:p>
            <w:pPr>
              <w:spacing w:line="320" w:lineRule="exact"/>
              <w:rPr>
                <w:rFonts w:hint="eastAsia" w:ascii="宋体" w:hAnsi="宋体"/>
                <w:bCs/>
                <w:color w:val="000000"/>
                <w:sz w:val="24"/>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售后</w:t>
            </w:r>
          </w:p>
        </w:tc>
        <w:tc>
          <w:tcPr>
            <w:tcW w:w="2836" w:type="dxa"/>
            <w:vAlign w:val="top"/>
          </w:tcPr>
          <w:p>
            <w:pPr>
              <w:spacing w:line="320" w:lineRule="exact"/>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售后服务要求：整机免费保修三年（含所有零部件，包括须定期更换零部件）。</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7" w:hRule="atLeast"/>
        </w:trPr>
        <w:tc>
          <w:tcPr>
            <w:tcW w:w="750" w:type="dxa"/>
          </w:tcPr>
          <w:p>
            <w:pPr>
              <w:numPr>
                <w:ilvl w:val="0"/>
                <w:numId w:val="0"/>
              </w:numPr>
              <w:spacing w:line="320" w:lineRule="exact"/>
              <w:ind w:leftChars="0"/>
              <w:rPr>
                <w:rFonts w:hint="eastAsia" w:ascii="仿宋" w:hAnsi="仿宋" w:eastAsia="仿宋" w:cs="仿宋"/>
                <w:b w:val="0"/>
                <w:bCs/>
                <w:sz w:val="24"/>
                <w:szCs w:val="24"/>
              </w:rPr>
            </w:pPr>
          </w:p>
        </w:tc>
        <w:tc>
          <w:tcPr>
            <w:tcW w:w="1785" w:type="dxa"/>
            <w:vAlign w:val="top"/>
          </w:tcPr>
          <w:p>
            <w:pPr>
              <w:jc w:val="both"/>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其他</w:t>
            </w:r>
          </w:p>
        </w:tc>
        <w:tc>
          <w:tcPr>
            <w:tcW w:w="2836" w:type="dxa"/>
            <w:vAlign w:val="top"/>
          </w:tcPr>
          <w:p>
            <w:pPr>
              <w:spacing w:line="320" w:lineRule="exact"/>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提供近3年内同机型设备国内医院用户合同5家及以上，标书内提供清晰的合同原件扫描件并加盖公章（遮盖认定为无效业绩）。</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bl>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4"/>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zhkNjAxMzFkOTZhZGM2YWZlNmFhZjExMzRmN2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83EBA"/>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AC6877"/>
    <w:rsid w:val="22E90E34"/>
    <w:rsid w:val="23035A4C"/>
    <w:rsid w:val="231D1DD1"/>
    <w:rsid w:val="233B51A7"/>
    <w:rsid w:val="233D5CD2"/>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EA6197C"/>
    <w:rsid w:val="3F253EC2"/>
    <w:rsid w:val="3FDE6FD5"/>
    <w:rsid w:val="4015650F"/>
    <w:rsid w:val="40676830"/>
    <w:rsid w:val="40F06215"/>
    <w:rsid w:val="411101D9"/>
    <w:rsid w:val="41197F7B"/>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00679"/>
    <w:rsid w:val="53F31105"/>
    <w:rsid w:val="54665390"/>
    <w:rsid w:val="54777B6E"/>
    <w:rsid w:val="54796820"/>
    <w:rsid w:val="5490517C"/>
    <w:rsid w:val="54DF553D"/>
    <w:rsid w:val="556B4EDD"/>
    <w:rsid w:val="55DD08C4"/>
    <w:rsid w:val="560343FB"/>
    <w:rsid w:val="562F7E20"/>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C50124"/>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adjustRightInd w:val="0"/>
      <w:snapToGrid w:val="0"/>
    </w:pPr>
    <w:rPr>
      <w:rFonts w:ascii="Tahoma" w:hAnsi="Tahoma" w:eastAsia="微软雅黑" w:cs="Times New Roman"/>
      <w:sz w:val="22"/>
      <w:szCs w:val="22"/>
      <w:lang w:val="en-US" w:eastAsia="zh-CN" w:bidi="ar-SA"/>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rPr>
      <w:rFonts w:ascii="宋体"/>
    </w:rPr>
  </w:style>
  <w:style w:type="paragraph" w:styleId="7">
    <w:name w:val="envelope return"/>
    <w:basedOn w:val="1"/>
    <w:qFormat/>
    <w:uiPriority w:val="0"/>
    <w:pPr>
      <w:snapToGrid w:val="0"/>
    </w:pPr>
    <w:rPr>
      <w:rFonts w:ascii="Arial" w:hAnsi="Arial"/>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next w:val="12"/>
    <w:unhideWhenUsed/>
    <w:qFormat/>
    <w:uiPriority w:val="0"/>
    <w:pPr>
      <w:ind w:firstLine="420" w:firstLineChars="200"/>
    </w:pPr>
  </w:style>
  <w:style w:type="paragraph" w:customStyle="1" w:styleId="1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qFormat/>
    <w:uiPriority w:val="0"/>
  </w:style>
  <w:style w:type="paragraph" w:customStyle="1" w:styleId="20">
    <w:name w:val="List Paragraph"/>
    <w:basedOn w:val="1"/>
    <w:qFormat/>
    <w:uiPriority w:val="34"/>
    <w:pPr>
      <w:ind w:firstLine="420" w:firstLineChars="200"/>
    </w:pPr>
    <w:rPr>
      <w:rFonts w:asciiTheme="minorHAnsi" w:hAnsiTheme="minorHAnsi" w:eastAsiaTheme="minorEastAsia" w:cstheme="minorBidi"/>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1842</Words>
  <Characters>1930</Characters>
  <Lines>6</Lines>
  <Paragraphs>1</Paragraphs>
  <TotalTime>3</TotalTime>
  <ScaleCrop>false</ScaleCrop>
  <LinksUpToDate>false</LinksUpToDate>
  <CharactersWithSpaces>2117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2022-06-14T00:31:46Z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EA3A3F2D26A049C0940CB2671C586A0E</vt:lpwstr>
  </property>
</Properties>
</file>