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六分钟步行试验测试系统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785"/>
        <w:gridCol w:w="2836"/>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5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8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vAlign w:val="top"/>
          </w:tcPr>
          <w:p>
            <w:pPr>
              <w:numPr>
                <w:ilvl w:val="0"/>
                <w:numId w:val="0"/>
              </w:numPr>
              <w:spacing w:line="320" w:lineRule="exact"/>
              <w:ind w:left="0" w:leftChars="0" w:firstLine="0" w:firstLineChars="0"/>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sz w:val="24"/>
                <w:szCs w:val="24"/>
                <w:lang w:val="en-US" w:eastAsia="zh-CN"/>
              </w:rPr>
              <w:t>1.</w:t>
            </w:r>
          </w:p>
        </w:tc>
        <w:tc>
          <w:tcPr>
            <w:tcW w:w="1785" w:type="dxa"/>
            <w:vAlign w:val="top"/>
          </w:tcPr>
          <w:p>
            <w:pPr>
              <w:spacing w:line="360" w:lineRule="auto"/>
              <w:rPr>
                <w:rFonts w:hint="eastAsia" w:ascii="仿宋" w:hAnsi="仿宋" w:eastAsia="仿宋" w:cs="仿宋"/>
                <w:b/>
                <w:bCs w:val="0"/>
                <w:sz w:val="24"/>
                <w:szCs w:val="24"/>
              </w:rPr>
            </w:pPr>
            <w:r>
              <w:rPr>
                <w:rFonts w:hint="eastAsia" w:ascii="仿宋" w:hAnsi="仿宋" w:eastAsia="仿宋" w:cs="仿宋"/>
                <w:b/>
                <w:bCs w:val="0"/>
                <w:sz w:val="24"/>
                <w:szCs w:val="24"/>
              </w:rPr>
              <w:t>设备配置</w:t>
            </w:r>
          </w:p>
          <w:p>
            <w:pPr>
              <w:jc w:val="both"/>
              <w:rPr>
                <w:rFonts w:hint="eastAsia" w:ascii="仿宋" w:hAnsi="仿宋" w:eastAsia="仿宋" w:cs="仿宋"/>
                <w:b/>
                <w:bCs w:val="0"/>
                <w:kern w:val="2"/>
                <w:sz w:val="24"/>
                <w:szCs w:val="24"/>
                <w:lang w:val="en-US" w:eastAsia="zh-CN" w:bidi="ar-SA"/>
              </w:rPr>
            </w:pPr>
          </w:p>
        </w:tc>
        <w:tc>
          <w:tcPr>
            <w:tcW w:w="2836" w:type="dxa"/>
            <w:vAlign w:val="top"/>
          </w:tcPr>
          <w:p>
            <w:pPr>
              <w:spacing w:line="360" w:lineRule="auto"/>
              <w:jc w:val="center"/>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785" w:type="dxa"/>
            <w:vAlign w:val="top"/>
          </w:tcPr>
          <w:p>
            <w:pPr>
              <w:jc w:val="both"/>
              <w:rPr>
                <w:rFonts w:hint="eastAsia" w:ascii="仿宋" w:hAnsi="仿宋" w:eastAsia="仿宋" w:cs="仿宋"/>
                <w:b w:val="0"/>
                <w:bCs/>
                <w:sz w:val="24"/>
                <w:szCs w:val="24"/>
              </w:rPr>
            </w:pPr>
          </w:p>
        </w:tc>
        <w:tc>
          <w:tcPr>
            <w:tcW w:w="2836" w:type="dxa"/>
            <w:vAlign w:val="top"/>
          </w:tcPr>
          <w:p>
            <w:pPr>
              <w:spacing w:line="360"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六分钟步行试验工作站1套</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vAlign w:val="top"/>
          </w:tcPr>
          <w:p>
            <w:pPr>
              <w:jc w:val="both"/>
              <w:rPr>
                <w:rFonts w:hint="eastAsia" w:ascii="仿宋" w:hAnsi="仿宋" w:eastAsia="仿宋" w:cs="仿宋"/>
                <w:b w:val="0"/>
                <w:bCs/>
                <w:sz w:val="24"/>
                <w:szCs w:val="24"/>
                <w:lang w:eastAsia="zh-CN"/>
              </w:rPr>
            </w:pPr>
          </w:p>
        </w:tc>
        <w:tc>
          <w:tcPr>
            <w:tcW w:w="2836" w:type="dxa"/>
            <w:vAlign w:val="top"/>
          </w:tcPr>
          <w:p>
            <w:pPr>
              <w:spacing w:line="360"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品牌电脑1台、平板1台，打印机1台</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785" w:type="dxa"/>
            <w:vAlign w:val="top"/>
          </w:tcPr>
          <w:p>
            <w:pPr>
              <w:jc w:val="both"/>
              <w:rPr>
                <w:rFonts w:hint="eastAsia" w:ascii="仿宋" w:hAnsi="仿宋" w:eastAsia="仿宋" w:cs="仿宋"/>
                <w:b w:val="0"/>
                <w:bCs/>
                <w:sz w:val="24"/>
                <w:szCs w:val="24"/>
                <w:lang w:eastAsia="zh-CN"/>
              </w:rPr>
            </w:pPr>
          </w:p>
        </w:tc>
        <w:tc>
          <w:tcPr>
            <w:tcW w:w="2836" w:type="dxa"/>
            <w:vAlign w:val="top"/>
          </w:tcPr>
          <w:p>
            <w:pPr>
              <w:spacing w:line="360" w:lineRule="auto"/>
              <w:ind w:firstLine="240" w:firstLineChars="100"/>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六分钟步行测试软件分析系统1套</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w:t>
            </w:r>
          </w:p>
        </w:tc>
        <w:tc>
          <w:tcPr>
            <w:tcW w:w="1785" w:type="dxa"/>
            <w:vAlign w:val="top"/>
          </w:tcPr>
          <w:p>
            <w:pPr>
              <w:jc w:val="both"/>
              <w:rPr>
                <w:rFonts w:hint="eastAsia" w:ascii="仿宋" w:hAnsi="仿宋" w:eastAsia="仿宋" w:cs="仿宋"/>
                <w:b w:val="0"/>
                <w:bCs/>
                <w:sz w:val="24"/>
                <w:szCs w:val="24"/>
                <w:lang w:eastAsia="zh-CN"/>
              </w:rPr>
            </w:pPr>
          </w:p>
        </w:tc>
        <w:tc>
          <w:tcPr>
            <w:tcW w:w="2836" w:type="dxa"/>
            <w:vAlign w:val="top"/>
          </w:tcPr>
          <w:p>
            <w:pPr>
              <w:spacing w:line="360" w:lineRule="auto"/>
              <w:ind w:firstLine="240" w:firstLineChars="100"/>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可移动六分钟步行测试主机1套</w:t>
            </w:r>
          </w:p>
        </w:tc>
        <w:tc>
          <w:tcPr>
            <w:tcW w:w="855" w:type="dxa"/>
            <w:vAlign w:val="top"/>
          </w:tcPr>
          <w:p>
            <w:pPr>
              <w:spacing w:line="320" w:lineRule="exact"/>
              <w:rPr>
                <w:rFonts w:hint="eastAsia" w:ascii="仿宋" w:hAnsi="仿宋" w:eastAsia="仿宋" w:cs="仿宋"/>
                <w:b w:val="0"/>
                <w:bCs/>
                <w:kern w:val="2"/>
                <w:sz w:val="24"/>
                <w:szCs w:val="24"/>
                <w:lang w:val="en-US" w:eastAsia="zh-CN" w:bidi="ar-SA"/>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1.5</w:t>
            </w:r>
          </w:p>
        </w:tc>
        <w:tc>
          <w:tcPr>
            <w:tcW w:w="1785" w:type="dxa"/>
            <w:vAlign w:val="top"/>
          </w:tcPr>
          <w:p>
            <w:pPr>
              <w:jc w:val="both"/>
              <w:rPr>
                <w:rFonts w:hint="eastAsia" w:ascii="仿宋" w:hAnsi="仿宋" w:eastAsia="仿宋" w:cs="仿宋"/>
                <w:b w:val="0"/>
                <w:bCs/>
                <w:sz w:val="24"/>
                <w:szCs w:val="24"/>
              </w:rPr>
            </w:pP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可移动台车1套，配摇臂移动固定支架</w:t>
            </w:r>
          </w:p>
        </w:tc>
        <w:tc>
          <w:tcPr>
            <w:tcW w:w="855" w:type="dxa"/>
            <w:vAlign w:val="top"/>
          </w:tcPr>
          <w:p>
            <w:pPr>
              <w:spacing w:line="320" w:lineRule="exact"/>
              <w:rPr>
                <w:rFonts w:hint="eastAsia" w:ascii="仿宋" w:hAnsi="仿宋" w:eastAsia="仿宋" w:cs="仿宋"/>
                <w:b w:val="0"/>
                <w:bCs/>
                <w:kern w:val="2"/>
                <w:sz w:val="24"/>
                <w:szCs w:val="24"/>
                <w:lang w:val="en-US" w:eastAsia="zh-CN" w:bidi="ar-SA"/>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1.6</w:t>
            </w:r>
          </w:p>
          <w:p>
            <w:pPr>
              <w:pStyle w:val="2"/>
              <w:rPr>
                <w:rFonts w:hint="eastAsia" w:ascii="仿宋" w:hAnsi="仿宋" w:eastAsia="仿宋" w:cs="仿宋"/>
                <w:b w:val="0"/>
                <w:bCs/>
                <w:sz w:val="24"/>
                <w:szCs w:val="24"/>
                <w:lang w:val="en-US" w:eastAsia="zh-CN"/>
              </w:rPr>
            </w:pPr>
          </w:p>
        </w:tc>
        <w:tc>
          <w:tcPr>
            <w:tcW w:w="1785" w:type="dxa"/>
            <w:vAlign w:val="top"/>
          </w:tcPr>
          <w:p>
            <w:pPr>
              <w:jc w:val="both"/>
              <w:rPr>
                <w:rFonts w:hint="eastAsia" w:ascii="仿宋" w:hAnsi="仿宋" w:eastAsia="仿宋" w:cs="仿宋"/>
                <w:b w:val="0"/>
                <w:bCs/>
                <w:sz w:val="24"/>
                <w:szCs w:val="24"/>
                <w:lang w:eastAsia="zh-CN"/>
              </w:rPr>
            </w:pPr>
          </w:p>
        </w:tc>
        <w:tc>
          <w:tcPr>
            <w:tcW w:w="2836" w:type="dxa"/>
            <w:vAlign w:val="top"/>
          </w:tcPr>
          <w:p>
            <w:pPr>
              <w:spacing w:line="360" w:lineRule="auto"/>
              <w:ind w:firstLine="240" w:firstLineChars="10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六分钟步行试验工作站1套</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1.7</w:t>
            </w:r>
          </w:p>
        </w:tc>
        <w:tc>
          <w:tcPr>
            <w:tcW w:w="1785" w:type="dxa"/>
            <w:vAlign w:val="top"/>
          </w:tcPr>
          <w:p>
            <w:pPr>
              <w:jc w:val="both"/>
              <w:rPr>
                <w:rFonts w:hint="eastAsia" w:ascii="仿宋" w:hAnsi="仿宋" w:eastAsia="仿宋" w:cs="仿宋"/>
                <w:b w:val="0"/>
                <w:bCs/>
                <w:sz w:val="24"/>
                <w:szCs w:val="24"/>
                <w:lang w:eastAsia="zh-CN"/>
              </w:rPr>
            </w:pPr>
          </w:p>
        </w:tc>
        <w:tc>
          <w:tcPr>
            <w:tcW w:w="2836" w:type="dxa"/>
            <w:vAlign w:val="top"/>
          </w:tcPr>
          <w:p>
            <w:pPr>
              <w:spacing w:line="360" w:lineRule="auto"/>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品牌电脑1台、平板1台，打印机1台</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2.</w:t>
            </w:r>
          </w:p>
        </w:tc>
        <w:tc>
          <w:tcPr>
            <w:tcW w:w="1785" w:type="dxa"/>
            <w:vAlign w:val="top"/>
          </w:tcPr>
          <w:p>
            <w:pPr>
              <w:jc w:val="both"/>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设备技术要求</w:t>
            </w:r>
          </w:p>
        </w:tc>
        <w:tc>
          <w:tcPr>
            <w:tcW w:w="2836" w:type="dxa"/>
            <w:vAlign w:val="top"/>
          </w:tcPr>
          <w:p>
            <w:pPr>
              <w:pStyle w:val="2"/>
              <w:spacing w:line="360" w:lineRule="auto"/>
              <w:ind w:firstLine="240" w:firstLineChars="100"/>
              <w:jc w:val="both"/>
              <w:rPr>
                <w:rFonts w:hint="eastAsia" w:ascii="仿宋" w:hAnsi="仿宋" w:eastAsia="仿宋" w:cs="仿宋"/>
                <w:b w:val="0"/>
                <w:bCs/>
                <w:sz w:val="24"/>
                <w:szCs w:val="24"/>
                <w:lang w:eastAsia="zh-CN"/>
              </w:rPr>
            </w:pP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软件操作要求</w:t>
            </w:r>
          </w:p>
        </w:tc>
        <w:tc>
          <w:tcPr>
            <w:tcW w:w="2836" w:type="dxa"/>
            <w:vAlign w:val="top"/>
          </w:tcPr>
          <w:p>
            <w:pPr>
              <w:pStyle w:val="21"/>
              <w:spacing w:line="360" w:lineRule="auto"/>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软件操作简便，永久免费升级</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软件全中文操作系统</w:t>
            </w:r>
            <w:r>
              <w:rPr>
                <w:rFonts w:hint="eastAsia" w:ascii="仿宋" w:hAnsi="仿宋" w:eastAsia="仿宋" w:cs="仿宋"/>
                <w:b w:val="0"/>
                <w:bCs/>
                <w:sz w:val="24"/>
                <w:szCs w:val="24"/>
                <w:lang w:eastAsia="zh-CN"/>
              </w:rPr>
              <w:t>数据传输要求。</w:t>
            </w:r>
          </w:p>
        </w:tc>
        <w:tc>
          <w:tcPr>
            <w:tcW w:w="2836" w:type="dxa"/>
            <w:vAlign w:val="top"/>
          </w:tcPr>
          <w:p>
            <w:pPr>
              <w:pStyle w:val="21"/>
              <w:spacing w:line="360" w:lineRule="auto"/>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软件全中文操作系统，数据可自动传输至心脏康复管理系统实现信息一体化</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rPr>
              <w:t>最大可承重不小于</w:t>
            </w:r>
          </w:p>
        </w:tc>
        <w:tc>
          <w:tcPr>
            <w:tcW w:w="2836" w:type="dxa"/>
            <w:vAlign w:val="top"/>
          </w:tcPr>
          <w:p>
            <w:pPr>
              <w:pStyle w:val="21"/>
              <w:spacing w:line="360" w:lineRule="auto"/>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心电无线连接连接电脑主机和智能平板电脑，实现远距离（50米）同步监测患者六分钟步行试验测试实时心电、血氧图形和数据，安全距离内指导患者进行测试，获取有效数据</w:t>
            </w:r>
          </w:p>
        </w:tc>
        <w:tc>
          <w:tcPr>
            <w:tcW w:w="855" w:type="dxa"/>
          </w:tcPr>
          <w:p>
            <w:pPr>
              <w:spacing w:line="320" w:lineRule="exact"/>
              <w:ind w:firstLine="240" w:firstLineChars="100"/>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2.4</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显示数据</w:t>
            </w:r>
          </w:p>
        </w:tc>
        <w:tc>
          <w:tcPr>
            <w:tcW w:w="2836" w:type="dxa"/>
            <w:vAlign w:val="top"/>
          </w:tcPr>
          <w:p>
            <w:pPr>
              <w:pStyle w:val="21"/>
              <w:spacing w:line="360" w:lineRule="auto"/>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六分钟步行试验测试过程中可同时3屏显示患者生理数据（患者端，工作站端，智能平板端）</w:t>
            </w:r>
          </w:p>
        </w:tc>
        <w:tc>
          <w:tcPr>
            <w:tcW w:w="855" w:type="dxa"/>
          </w:tcPr>
          <w:p>
            <w:pPr>
              <w:spacing w:line="320" w:lineRule="exact"/>
              <w:rPr>
                <w:rFonts w:hint="eastAsia" w:ascii="仿宋" w:hAnsi="仿宋" w:eastAsia="仿宋" w:cs="仿宋"/>
                <w:b w:val="0"/>
                <w:bCs/>
                <w:sz w:val="24"/>
                <w:szCs w:val="24"/>
              </w:rPr>
            </w:pPr>
            <w:r>
              <w:rPr>
                <w:rFonts w:hint="eastAsia" w:ascii="仿宋" w:hAnsi="仿宋" w:eastAsia="仿宋" w:cs="仿宋"/>
                <w:b w:val="0"/>
                <w:bCs/>
                <w:color w:val="000000"/>
                <w:sz w:val="24"/>
                <w:szCs w:val="24"/>
              </w:rPr>
              <w:t>★</w:t>
            </w: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2.5</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内置</w:t>
            </w:r>
            <w:r>
              <w:rPr>
                <w:rFonts w:hint="eastAsia" w:ascii="仿宋" w:hAnsi="仿宋" w:eastAsia="仿宋" w:cs="仿宋"/>
                <w:b w:val="0"/>
                <w:bCs/>
                <w:sz w:val="24"/>
                <w:szCs w:val="24"/>
              </w:rPr>
              <w:t>Borg量表</w:t>
            </w:r>
          </w:p>
        </w:tc>
        <w:tc>
          <w:tcPr>
            <w:tcW w:w="2836" w:type="dxa"/>
          </w:tcPr>
          <w:p>
            <w:pPr>
              <w:pStyle w:val="21"/>
              <w:spacing w:line="360" w:lineRule="auto"/>
              <w:ind w:firstLine="0" w:firstLineChars="0"/>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内置Borg量表，记录患者呼吸和疲劳分级。</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2.6</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内置代谢当量</w:t>
            </w:r>
          </w:p>
        </w:tc>
        <w:tc>
          <w:tcPr>
            <w:tcW w:w="2836" w:type="dxa"/>
          </w:tcPr>
          <w:p>
            <w:pPr>
              <w:pStyle w:val="21"/>
              <w:spacing w:line="360" w:lineRule="auto"/>
              <w:ind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内置代谢当量（METs）公式，自动计算患者METs值。</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2.7</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测试数据，运动轨迹等实时同步播放要求</w:t>
            </w:r>
          </w:p>
        </w:tc>
        <w:tc>
          <w:tcPr>
            <w:tcW w:w="2836" w:type="dxa"/>
          </w:tcPr>
          <w:p>
            <w:pPr>
              <w:pStyle w:val="21"/>
              <w:spacing w:line="360" w:lineRule="auto"/>
              <w:ind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 xml:space="preserve"> 整个六分钟步行试验测试过程中的心电/血氧波形和数据和运动轨迹实时同步回放。</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2.8</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屏幕</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1.46英寸OLED彩色显示屏，分辨率：128 x 128；</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2.9</w:t>
            </w:r>
          </w:p>
        </w:tc>
        <w:tc>
          <w:tcPr>
            <w:tcW w:w="1785" w:type="dxa"/>
          </w:tcPr>
          <w:p>
            <w:pPr>
              <w:spacing w:line="32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智能识别心电导联线功能</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智能识别心电导联线（3/5导），无需特别设置，支持心电导联脱落显示提示，确保导联良好的连接状态。；</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2.10</w:t>
            </w:r>
          </w:p>
        </w:tc>
        <w:tc>
          <w:tcPr>
            <w:tcW w:w="1785" w:type="dxa"/>
          </w:tcPr>
          <w:p>
            <w:pPr>
              <w:pStyle w:val="2"/>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心电检查支持一机多用</w:t>
            </w:r>
          </w:p>
          <w:p>
            <w:pPr>
              <w:spacing w:line="320" w:lineRule="exact"/>
              <w:rPr>
                <w:rFonts w:hint="eastAsia" w:ascii="仿宋" w:hAnsi="仿宋" w:eastAsia="仿宋" w:cs="仿宋"/>
                <w:b w:val="0"/>
                <w:bCs/>
                <w:sz w:val="24"/>
                <w:szCs w:val="24"/>
                <w:lang w:eastAsia="zh-CN"/>
              </w:rPr>
            </w:pP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心电监测支持一机多用，可应用于患者实时训练过程中的心电监测</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2.11</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配置无线动态血压实时数据</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配置无线动态血压实时自动传输血压数据</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识别血氧探头接入</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当识别到血氧探头接入时，设备自动显示血氧参数监测，无需手动设置。</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支持心电波形显示</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支持心电I、II、III、avR、avL、avF、V各导联波形显示；</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2.14</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显示界面</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显示界面: ECG界面、ECG+RESP界面、ECG+SpO2界面、ECG+SpO2+Resp界面、SpO2+PR界面、演示界面，并支持一键实现各界面互相切换显示；</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2.15</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重量与方便携带</w:t>
            </w:r>
          </w:p>
        </w:tc>
        <w:tc>
          <w:tcPr>
            <w:tcW w:w="2836" w:type="dxa"/>
          </w:tcPr>
          <w:p>
            <w:p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rPr>
              <w:t>重量＜140g，标配挂带包，便于病人随身携带；</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2"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2.16</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防水防摔</w:t>
            </w:r>
          </w:p>
        </w:tc>
        <w:tc>
          <w:tcPr>
            <w:tcW w:w="2836" w:type="dxa"/>
            <w:vAlign w:val="top"/>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防水抗摔：防水等级IPX7；</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2.17</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具自动关屏功能</w:t>
            </w:r>
          </w:p>
        </w:tc>
        <w:tc>
          <w:tcPr>
            <w:tcW w:w="2836" w:type="dxa"/>
            <w:vAlign w:val="top"/>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具自动关屏功能，在无操作时进入具低功耗模式；</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2.18</w:t>
            </w:r>
          </w:p>
        </w:tc>
        <w:tc>
          <w:tcPr>
            <w:tcW w:w="1785" w:type="dxa"/>
            <w:vAlign w:val="top"/>
          </w:tcPr>
          <w:p>
            <w:pPr>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ECG测量</w:t>
            </w:r>
          </w:p>
        </w:tc>
        <w:tc>
          <w:tcPr>
            <w:tcW w:w="2836" w:type="dxa"/>
            <w:vAlign w:val="top"/>
          </w:tcPr>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支持3/5导心电监测</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HR测量范围：成人：15bpm ～ 300bpm     小儿：15bpm ～ 350bpm</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Resp测量：测量范围：成人 0 rpm ～ 120 rpm      小儿0 rpm ～ 150 rpm</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分辨率：1rpm，精度：±2rpm</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 xml:space="preserve">SpO2测量：测量范围：0-100% </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分辨率：1%</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精度：±2%（70% ～ 100%）</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分辨率：1%</w:t>
            </w:r>
          </w:p>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精度：±2%（70% ～ 100%）</w:t>
            </w:r>
          </w:p>
          <w:p>
            <w:pPr>
              <w:spacing w:line="360" w:lineRule="auto"/>
              <w:rPr>
                <w:rFonts w:hint="eastAsia" w:ascii="仿宋" w:hAnsi="仿宋" w:eastAsia="仿宋" w:cs="仿宋"/>
                <w:b w:val="0"/>
                <w:bCs/>
                <w:kern w:val="0"/>
                <w:sz w:val="24"/>
                <w:szCs w:val="24"/>
                <w:lang w:val="en-US" w:eastAsia="zh-CN"/>
              </w:rPr>
            </w:pP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2.19</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支持高通滤波及要求</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szCs w:val="24"/>
              </w:rPr>
              <w:t>支持0.67Hz的高通滤波，确保波形有更好的稳定性（需提供设置界面图片）；</w:t>
            </w:r>
          </w:p>
        </w:tc>
        <w:tc>
          <w:tcPr>
            <w:tcW w:w="855" w:type="dxa"/>
          </w:tcPr>
          <w:p>
            <w:pPr>
              <w:spacing w:line="320" w:lineRule="exact"/>
              <w:rPr>
                <w:rFonts w:hint="eastAsia" w:ascii="仿宋" w:hAnsi="仿宋" w:eastAsia="仿宋" w:cs="仿宋"/>
                <w:b w:val="0"/>
                <w:bCs/>
                <w:sz w:val="24"/>
                <w:szCs w:val="24"/>
              </w:rPr>
            </w:pPr>
            <w:r>
              <w:rPr>
                <w:rFonts w:hint="eastAsia" w:ascii="仿宋" w:hAnsi="仿宋" w:eastAsia="仿宋" w:cs="仿宋"/>
                <w:b w:val="0"/>
                <w:bCs/>
                <w:color w:val="000000"/>
                <w:sz w:val="24"/>
                <w:szCs w:val="24"/>
              </w:rPr>
              <w:t>★</w:t>
            </w: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2.20</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心电更换电池要求</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szCs w:val="24"/>
              </w:rPr>
              <w:t>心电具更换电池不掉电功能；（支持取下电池后20秒时间内不掉电）</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监护数据的存储及回顾要求</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szCs w:val="24"/>
              </w:rPr>
              <w:t>心电支持监护数据的存储及回顾，时长不小于1.5小时；</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多参数数字遥测收发器核准证书及专利要求。</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szCs w:val="24"/>
              </w:rPr>
              <w:t>多参数数字遥测收发器获得无线电发射设备型号核准证书，具有运动抗干扰专利（需提供专利证书）；</w:t>
            </w:r>
          </w:p>
        </w:tc>
        <w:tc>
          <w:tcPr>
            <w:tcW w:w="855" w:type="dxa"/>
          </w:tcPr>
          <w:p>
            <w:pPr>
              <w:spacing w:line="320" w:lineRule="exact"/>
              <w:rPr>
                <w:rFonts w:hint="eastAsia" w:ascii="仿宋" w:hAnsi="仿宋" w:eastAsia="仿宋" w:cs="仿宋"/>
                <w:b w:val="0"/>
                <w:bCs/>
                <w:sz w:val="24"/>
                <w:szCs w:val="24"/>
              </w:rPr>
            </w:pPr>
            <w:r>
              <w:rPr>
                <w:rFonts w:hint="eastAsia" w:ascii="仿宋" w:hAnsi="仿宋" w:eastAsia="仿宋" w:cs="仿宋"/>
                <w:b w:val="0"/>
                <w:bCs/>
                <w:color w:val="000000"/>
                <w:sz w:val="24"/>
                <w:szCs w:val="24"/>
              </w:rPr>
              <w:t>★</w:t>
            </w: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相关认证要求</w:t>
            </w:r>
          </w:p>
        </w:tc>
        <w:tc>
          <w:tcPr>
            <w:tcW w:w="2836" w:type="dxa"/>
            <w:vAlign w:val="top"/>
          </w:tcPr>
          <w:p>
            <w:pPr>
              <w:spacing w:line="360" w:lineRule="auto"/>
              <w:rPr>
                <w:rFonts w:hint="eastAsia" w:ascii="仿宋" w:hAnsi="仿宋" w:eastAsia="仿宋" w:cs="仿宋"/>
                <w:b w:val="0"/>
                <w:bCs/>
                <w:kern w:val="0"/>
                <w:sz w:val="24"/>
                <w:szCs w:val="24"/>
                <w:lang w:val="en-US" w:eastAsia="zh-CN"/>
              </w:rPr>
            </w:pPr>
            <w:r>
              <w:rPr>
                <w:rFonts w:hint="eastAsia" w:ascii="仿宋" w:hAnsi="仿宋" w:eastAsia="仿宋" w:cs="仿宋"/>
                <w:b w:val="0"/>
                <w:bCs/>
                <w:sz w:val="24"/>
                <w:szCs w:val="24"/>
              </w:rPr>
              <w:t>2心电通过CE、FDA认证；</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售后</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售后服务要求：整机免费保修三年（含所有零部件，包括须定期更换零部件）。</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numId w:val="0"/>
              </w:numPr>
              <w:spacing w:line="320" w:lineRule="exact"/>
              <w:ind w:leftChars="0"/>
              <w:rPr>
                <w:rFonts w:hint="eastAsia" w:ascii="仿宋" w:hAnsi="仿宋" w:eastAsia="仿宋" w:cs="仿宋"/>
                <w:b w:val="0"/>
                <w:bCs/>
                <w:sz w:val="24"/>
                <w:szCs w:val="24"/>
              </w:rPr>
            </w:pPr>
            <w:bookmarkStart w:id="0" w:name="_GoBack"/>
            <w:bookmarkEnd w:id="0"/>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其他</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hint="eastAsia" w:ascii="仿宋" w:hAnsi="仿宋" w:eastAsia="仿宋" w:cs="仿宋"/>
                <w:b w:val="0"/>
                <w:bCs/>
                <w:sz w:val="24"/>
                <w:szCs w:val="24"/>
              </w:rPr>
            </w:pPr>
          </w:p>
        </w:tc>
        <w:tc>
          <w:tcPr>
            <w:tcW w:w="885" w:type="dxa"/>
          </w:tcPr>
          <w:p>
            <w:pPr>
              <w:spacing w:line="320" w:lineRule="exact"/>
              <w:rPr>
                <w:rFonts w:hint="eastAsia" w:ascii="仿宋" w:hAnsi="仿宋" w:eastAsia="仿宋" w:cs="仿宋"/>
                <w:b w:val="0"/>
                <w:bCs/>
                <w:sz w:val="24"/>
                <w:szCs w:val="24"/>
              </w:rPr>
            </w:pPr>
          </w:p>
        </w:tc>
        <w:tc>
          <w:tcPr>
            <w:tcW w:w="855" w:type="dxa"/>
          </w:tcPr>
          <w:p>
            <w:pPr>
              <w:spacing w:line="320" w:lineRule="exact"/>
              <w:rPr>
                <w:rFonts w:hint="eastAsia" w:ascii="仿宋" w:hAnsi="仿宋" w:eastAsia="仿宋" w:cs="仿宋"/>
                <w:b w:val="0"/>
                <w:bCs/>
                <w:sz w:val="24"/>
                <w:szCs w:val="24"/>
              </w:rPr>
            </w:pPr>
          </w:p>
        </w:tc>
        <w:tc>
          <w:tcPr>
            <w:tcW w:w="1752" w:type="dxa"/>
          </w:tcPr>
          <w:p>
            <w:pPr>
              <w:spacing w:line="320" w:lineRule="exact"/>
              <w:rPr>
                <w:rFonts w:hint="eastAsia" w:ascii="仿宋" w:hAnsi="仿宋" w:eastAsia="仿宋" w:cs="仿宋"/>
                <w:b w:val="0"/>
                <w:bCs/>
                <w:sz w:val="24"/>
                <w:szCs w:val="24"/>
              </w:rPr>
            </w:pPr>
          </w:p>
        </w:tc>
      </w:tr>
    </w:tbl>
    <w:p>
      <w:pPr>
        <w:spacing w:line="320" w:lineRule="exact"/>
        <w:rPr>
          <w:rFonts w:hint="eastAsia" w:ascii="仿宋" w:hAnsi="仿宋" w:eastAsia="仿宋" w:cs="仿宋"/>
          <w:b w:val="0"/>
          <w:bCs/>
          <w:sz w:val="24"/>
          <w:szCs w:val="24"/>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715169"/>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D6AF1"/>
    <w:rsid w:val="20C0486A"/>
    <w:rsid w:val="20CC5612"/>
    <w:rsid w:val="21156130"/>
    <w:rsid w:val="219B39E2"/>
    <w:rsid w:val="21C645C7"/>
    <w:rsid w:val="21D63524"/>
    <w:rsid w:val="221F22B3"/>
    <w:rsid w:val="2233022B"/>
    <w:rsid w:val="22421C49"/>
    <w:rsid w:val="22426CD1"/>
    <w:rsid w:val="22E90E34"/>
    <w:rsid w:val="23035A4C"/>
    <w:rsid w:val="231D1DD1"/>
    <w:rsid w:val="233B51A7"/>
    <w:rsid w:val="233D5CD2"/>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2347</Words>
  <Characters>2628</Characters>
  <Lines>6</Lines>
  <Paragraphs>1</Paragraphs>
  <TotalTime>47</TotalTime>
  <ScaleCrop>false</ScaleCrop>
  <LinksUpToDate>false</LinksUpToDate>
  <CharactersWithSpaces>2852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2022-06-14T02:32:10Z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DA73EE4638144431B39468770F0A132C</vt:lpwstr>
  </property>
</Properties>
</file>