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有氧功率车</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785"/>
        <w:gridCol w:w="2836"/>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5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8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w:t>
            </w:r>
          </w:p>
        </w:tc>
        <w:tc>
          <w:tcPr>
            <w:tcW w:w="1785" w:type="dxa"/>
            <w:vAlign w:val="top"/>
          </w:tcPr>
          <w:p>
            <w:pPr>
              <w:jc w:val="both"/>
              <w:rPr>
                <w:rFonts w:hint="eastAsia" w:ascii="仿宋" w:hAnsi="仿宋" w:eastAsia="仿宋" w:cs="仿宋"/>
                <w:b/>
                <w:bCs w:val="0"/>
                <w:sz w:val="24"/>
                <w:szCs w:val="24"/>
              </w:rPr>
            </w:pPr>
            <w:r>
              <w:rPr>
                <w:rFonts w:hint="eastAsia" w:ascii="仿宋" w:hAnsi="仿宋" w:eastAsia="仿宋" w:cs="仿宋"/>
                <w:b/>
                <w:bCs w:val="0"/>
                <w:sz w:val="24"/>
                <w:szCs w:val="24"/>
                <w:lang w:eastAsia="zh-CN"/>
              </w:rPr>
              <w:t>有氧功率车</w:t>
            </w:r>
          </w:p>
        </w:tc>
        <w:tc>
          <w:tcPr>
            <w:tcW w:w="2836" w:type="dxa"/>
            <w:vAlign w:val="top"/>
          </w:tcPr>
          <w:p>
            <w:pPr>
              <w:spacing w:line="360" w:lineRule="auto"/>
              <w:jc w:val="center"/>
              <w:rPr>
                <w:rFonts w:hint="eastAsia" w:ascii="仿宋" w:hAnsi="仿宋" w:eastAsia="仿宋" w:cs="仿宋"/>
                <w:sz w:val="24"/>
                <w:szCs w:val="24"/>
              </w:rPr>
            </w:pPr>
            <w:bookmarkStart w:id="0" w:name="_GoBack"/>
            <w:bookmarkEnd w:id="0"/>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firstLine="207" w:firstLine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立式功率车</w:t>
            </w:r>
          </w:p>
        </w:tc>
        <w:tc>
          <w:tcPr>
            <w:tcW w:w="2836" w:type="dxa"/>
            <w:vAlign w:val="top"/>
          </w:tcPr>
          <w:p>
            <w:pPr>
              <w:spacing w:line="360" w:lineRule="auto"/>
              <w:jc w:val="center"/>
              <w:rPr>
                <w:rFonts w:hint="eastAsia" w:ascii="仿宋" w:hAnsi="仿宋" w:eastAsia="仿宋" w:cs="仿宋"/>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阻力类型:</w:t>
            </w:r>
          </w:p>
        </w:tc>
        <w:tc>
          <w:tcPr>
            <w:tcW w:w="2836" w:type="dxa"/>
            <w:vAlign w:val="top"/>
          </w:tcPr>
          <w:p>
            <w:pPr>
              <w:pStyle w:val="2"/>
              <w:spacing w:line="360" w:lineRule="auto"/>
              <w:ind w:firstLine="240" w:firstLineChars="100"/>
              <w:jc w:val="center"/>
              <w:rPr>
                <w:rFonts w:hint="eastAsia" w:ascii="仿宋" w:hAnsi="仿宋" w:eastAsia="仿宋" w:cs="仿宋"/>
                <w:b w:val="0"/>
                <w:bCs/>
                <w:sz w:val="24"/>
                <w:szCs w:val="24"/>
                <w:lang w:eastAsia="zh-CN"/>
              </w:rPr>
            </w:pPr>
            <w:r>
              <w:rPr>
                <w:rFonts w:hint="eastAsia" w:ascii="仿宋" w:hAnsi="仿宋" w:eastAsia="仿宋" w:cs="仿宋"/>
                <w:sz w:val="24"/>
                <w:szCs w:val="24"/>
              </w:rPr>
              <w:t>电脑控制的电磁涡流阻力系统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功率调节范围</w:t>
            </w:r>
          </w:p>
        </w:tc>
        <w:tc>
          <w:tcPr>
            <w:tcW w:w="2836" w:type="dxa"/>
            <w:vAlign w:val="top"/>
          </w:tcPr>
          <w:p>
            <w:pPr>
              <w:pStyle w:val="2"/>
              <w:spacing w:line="360" w:lineRule="auto"/>
              <w:ind w:firstLine="240" w:firstLineChars="100"/>
              <w:jc w:val="center"/>
              <w:rPr>
                <w:rFonts w:hint="eastAsia" w:ascii="仿宋" w:hAnsi="仿宋" w:eastAsia="仿宋" w:cs="仿宋"/>
                <w:b w:val="0"/>
                <w:bCs/>
                <w:sz w:val="24"/>
                <w:szCs w:val="24"/>
                <w:lang w:eastAsia="zh-CN"/>
              </w:rPr>
            </w:pPr>
            <w:r>
              <w:rPr>
                <w:rFonts w:hint="eastAsia" w:ascii="仿宋" w:hAnsi="仿宋" w:eastAsia="仿宋" w:cs="仿宋"/>
                <w:sz w:val="24"/>
                <w:szCs w:val="24"/>
              </w:rPr>
              <w:t>6-999瓦</w:t>
            </w:r>
          </w:p>
        </w:tc>
        <w:tc>
          <w:tcPr>
            <w:tcW w:w="855" w:type="dxa"/>
            <w:vAlign w:val="top"/>
          </w:tcPr>
          <w:p>
            <w:pPr>
              <w:spacing w:line="320" w:lineRule="exact"/>
              <w:rPr>
                <w:rFonts w:ascii="仿宋" w:hAnsi="仿宋" w:eastAsia="仿宋" w:cstheme="minorBidi"/>
                <w:b w:val="0"/>
                <w:bCs/>
                <w:kern w:val="2"/>
                <w:sz w:val="21"/>
                <w:szCs w:val="21"/>
                <w:lang w:val="en-US" w:eastAsia="zh-CN" w:bidi="ar-SA"/>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1.3</w:t>
            </w:r>
          </w:p>
        </w:tc>
        <w:tc>
          <w:tcPr>
            <w:tcW w:w="1785" w:type="dxa"/>
            <w:vAlign w:val="top"/>
          </w:tcPr>
          <w:p>
            <w:pPr>
              <w:jc w:val="both"/>
              <w:rPr>
                <w:rFonts w:hint="eastAsia" w:ascii="仿宋" w:hAnsi="仿宋" w:eastAsia="仿宋" w:cs="仿宋"/>
                <w:b w:val="0"/>
                <w:bCs/>
                <w:sz w:val="24"/>
                <w:szCs w:val="24"/>
              </w:rPr>
            </w:pPr>
            <w:r>
              <w:rPr>
                <w:rFonts w:hint="eastAsia" w:ascii="仿宋" w:hAnsi="仿宋" w:eastAsia="仿宋" w:cs="仿宋"/>
                <w:sz w:val="24"/>
                <w:szCs w:val="24"/>
              </w:rPr>
              <w:t>负荷递增幅度</w:t>
            </w:r>
          </w:p>
        </w:tc>
        <w:tc>
          <w:tcPr>
            <w:tcW w:w="2836" w:type="dxa"/>
            <w:vAlign w:val="top"/>
          </w:tcPr>
          <w:p>
            <w:pPr>
              <w:pStyle w:val="2"/>
              <w:spacing w:line="360" w:lineRule="auto"/>
              <w:ind w:firstLine="240" w:firstLineChars="100"/>
              <w:jc w:val="both"/>
              <w:rPr>
                <w:rFonts w:hint="eastAsia" w:ascii="仿宋" w:hAnsi="仿宋" w:eastAsia="仿宋" w:cs="仿宋"/>
                <w:b w:val="0"/>
                <w:bCs/>
                <w:sz w:val="24"/>
                <w:szCs w:val="24"/>
                <w:lang w:eastAsia="zh-CN"/>
              </w:rPr>
            </w:pPr>
            <w:r>
              <w:rPr>
                <w:rFonts w:hint="eastAsia" w:ascii="仿宋" w:hAnsi="仿宋" w:eastAsia="仿宋" w:cs="仿宋"/>
                <w:sz w:val="24"/>
                <w:szCs w:val="24"/>
              </w:rPr>
              <w:t>负荷递增幅度≤每1瓦可调</w:t>
            </w:r>
          </w:p>
        </w:tc>
        <w:tc>
          <w:tcPr>
            <w:tcW w:w="855" w:type="dxa"/>
            <w:vAlign w:val="top"/>
          </w:tcPr>
          <w:p>
            <w:pPr>
              <w:spacing w:line="320" w:lineRule="exact"/>
              <w:rPr>
                <w:rFonts w:ascii="仿宋" w:hAnsi="仿宋" w:eastAsia="仿宋" w:cstheme="minorBidi"/>
                <w:b w:val="0"/>
                <w:bCs/>
                <w:kern w:val="2"/>
                <w:sz w:val="21"/>
                <w:szCs w:val="21"/>
                <w:lang w:val="en-US" w:eastAsia="zh-CN" w:bidi="ar-SA"/>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p>
            <w:pPr>
              <w:pStyle w:val="2"/>
              <w:rPr>
                <w:rFonts w:hint="eastAsia" w:ascii="仿宋" w:hAnsi="仿宋" w:eastAsia="仿宋" w:cs="仿宋"/>
                <w:sz w:val="24"/>
                <w:szCs w:val="24"/>
                <w:lang w:val="en-US" w:eastAsia="zh-CN"/>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负荷精确度</w:t>
            </w:r>
          </w:p>
        </w:tc>
        <w:tc>
          <w:tcPr>
            <w:tcW w:w="2836" w:type="dxa"/>
            <w:vAlign w:val="top"/>
          </w:tcPr>
          <w:p>
            <w:pPr>
              <w:pStyle w:val="2"/>
              <w:spacing w:line="360" w:lineRule="auto"/>
              <w:ind w:firstLine="240" w:firstLineChars="100"/>
              <w:jc w:val="center"/>
              <w:rPr>
                <w:rFonts w:hint="eastAsia" w:ascii="仿宋" w:hAnsi="仿宋" w:eastAsia="仿宋" w:cs="仿宋"/>
                <w:b w:val="0"/>
                <w:bCs/>
                <w:sz w:val="24"/>
                <w:szCs w:val="24"/>
                <w:lang w:eastAsia="zh-CN"/>
              </w:rPr>
            </w:pPr>
            <w:r>
              <w:rPr>
                <w:rFonts w:hint="eastAsia" w:ascii="仿宋" w:hAnsi="仿宋" w:eastAsia="仿宋" w:cs="仿宋"/>
                <w:sz w:val="24"/>
                <w:szCs w:val="24"/>
              </w:rPr>
              <w:t>负荷最大变异系数不大于2%</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无偏差标准</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无偏差DIN VDE 0750-238标准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1.6</w:t>
            </w:r>
          </w:p>
        </w:tc>
        <w:tc>
          <w:tcPr>
            <w:tcW w:w="1785" w:type="dxa"/>
            <w:vAlign w:val="top"/>
          </w:tcPr>
          <w:p>
            <w:pPr>
              <w:jc w:val="both"/>
              <w:rPr>
                <w:rFonts w:hint="eastAsia" w:ascii="仿宋" w:hAnsi="仿宋" w:eastAsia="仿宋" w:cs="仿宋"/>
                <w:b w:val="0"/>
                <w:bCs/>
                <w:sz w:val="24"/>
                <w:szCs w:val="24"/>
              </w:rPr>
            </w:pPr>
            <w:r>
              <w:rPr>
                <w:rFonts w:hint="eastAsia" w:ascii="仿宋" w:hAnsi="仿宋" w:eastAsia="仿宋" w:cs="仿宋"/>
                <w:sz w:val="24"/>
                <w:szCs w:val="24"/>
              </w:rPr>
              <w:t>转速范围</w:t>
            </w:r>
          </w:p>
        </w:tc>
        <w:tc>
          <w:tcPr>
            <w:tcW w:w="2836" w:type="dxa"/>
            <w:vAlign w:val="top"/>
          </w:tcPr>
          <w:p>
            <w:pPr>
              <w:pStyle w:val="2"/>
              <w:spacing w:line="360" w:lineRule="auto"/>
              <w:ind w:firstLine="240" w:firstLineChars="100"/>
              <w:jc w:val="both"/>
              <w:rPr>
                <w:rFonts w:hint="eastAsia" w:ascii="仿宋" w:hAnsi="仿宋" w:eastAsia="仿宋" w:cs="仿宋"/>
                <w:b w:val="0"/>
                <w:bCs/>
                <w:sz w:val="24"/>
                <w:szCs w:val="24"/>
                <w:lang w:eastAsia="zh-CN"/>
              </w:rPr>
            </w:pPr>
            <w:r>
              <w:rPr>
                <w:rFonts w:hint="eastAsia" w:ascii="仿宋" w:hAnsi="仿宋" w:eastAsia="仿宋" w:cs="仿宋"/>
                <w:sz w:val="24"/>
                <w:szCs w:val="24"/>
              </w:rPr>
              <w:t>30–130转/分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1.7</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车把位置调整不小于</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车把位置调整不小于可作360°旋转/79-135厘米升降</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1.8</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车座高度手动动调节，适合患者身高范围</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车座高度手动动调节，适合患者身高范围120-210cm</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1.9</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最大可承重不小于</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160公斤</w:t>
            </w:r>
          </w:p>
        </w:tc>
        <w:tc>
          <w:tcPr>
            <w:tcW w:w="855" w:type="dxa"/>
          </w:tcPr>
          <w:p>
            <w:pPr>
              <w:spacing w:line="320" w:lineRule="exact"/>
              <w:ind w:firstLine="210" w:firstLineChars="100"/>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1.10</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患者显示器中图形需有显示以下指标</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r>
              <w:rPr>
                <w:rFonts w:hint="eastAsia" w:ascii="仿宋" w:hAnsi="仿宋" w:eastAsia="仿宋" w:cs="仿宋"/>
                <w:sz w:val="24"/>
                <w:szCs w:val="24"/>
              </w:rPr>
              <w:t>负荷,转速,时间,血压,心率</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治疗师显示器(LED)显示以下指标：</w:t>
            </w:r>
          </w:p>
        </w:tc>
        <w:tc>
          <w:tcPr>
            <w:tcW w:w="2836" w:type="dxa"/>
          </w:tcPr>
          <w:p>
            <w:pPr>
              <w:pStyle w:val="2"/>
              <w:spacing w:line="360" w:lineRule="auto"/>
              <w:rPr>
                <w:rFonts w:hint="eastAsia" w:ascii="仿宋" w:hAnsi="仿宋" w:eastAsia="仿宋" w:cs="仿宋"/>
                <w:b w:val="0"/>
                <w:bCs/>
                <w:sz w:val="24"/>
                <w:szCs w:val="24"/>
                <w:lang w:eastAsia="zh-CN"/>
              </w:rPr>
            </w:pPr>
            <w:r>
              <w:rPr>
                <w:rFonts w:hint="eastAsia" w:ascii="仿宋" w:hAnsi="仿宋" w:eastAsia="仿宋" w:cs="仿宋"/>
                <w:sz w:val="24"/>
                <w:szCs w:val="24"/>
              </w:rPr>
              <w:t>转速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按键</w:t>
            </w:r>
          </w:p>
        </w:tc>
        <w:tc>
          <w:tcPr>
            <w:tcW w:w="2836" w:type="dxa"/>
          </w:tcPr>
          <w:p>
            <w:pPr>
              <w:pStyle w:val="2"/>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薄膜按键</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功率车负荷测试方案，</w:t>
            </w:r>
          </w:p>
        </w:tc>
        <w:tc>
          <w:tcPr>
            <w:tcW w:w="2836" w:type="dxa"/>
          </w:tcPr>
          <w:p>
            <w:pPr>
              <w:pStyle w:val="2"/>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功率车自带不少于5种固定运动负荷测试方案（WHO、BAL、Hollman、STD.France、Standard），10种用户可编辑运动负荷测试方案，用户手动控制负荷模式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1.14</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接口</w:t>
            </w:r>
          </w:p>
        </w:tc>
        <w:tc>
          <w:tcPr>
            <w:tcW w:w="2836" w:type="dxa"/>
          </w:tcPr>
          <w:p>
            <w:pPr>
              <w:pStyle w:val="2"/>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数字接口(RS-232)连接ERS系统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1.15</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数据无线传输</w:t>
            </w:r>
          </w:p>
        </w:tc>
        <w:tc>
          <w:tcPr>
            <w:tcW w:w="2836" w:type="dxa"/>
          </w:tcPr>
          <w:p>
            <w:pPr>
              <w:pStyle w:val="2"/>
              <w:spacing w:line="360" w:lineRule="auto"/>
              <w:rPr>
                <w:rFonts w:hint="eastAsia" w:ascii="仿宋" w:hAnsi="仿宋" w:eastAsia="仿宋" w:cs="仿宋"/>
                <w:b/>
                <w:bCs/>
                <w:color w:val="000000"/>
                <w:sz w:val="24"/>
                <w:szCs w:val="24"/>
                <w:lang w:eastAsia="zh-CN"/>
              </w:rPr>
            </w:pPr>
            <w:r>
              <w:rPr>
                <w:rFonts w:hint="eastAsia" w:ascii="仿宋" w:hAnsi="仿宋" w:eastAsia="仿宋" w:cs="仿宋"/>
                <w:sz w:val="24"/>
                <w:szCs w:val="24"/>
              </w:rPr>
              <w:t>数据无线传输，可通过心脏康复管理系统无线下达测试方案和运动方案（包含恒定负荷方案，间歇负荷方案，恒定心率方案，间歇恒定心率等多种训练方案）</w:t>
            </w:r>
          </w:p>
        </w:tc>
        <w:tc>
          <w:tcPr>
            <w:tcW w:w="855" w:type="dxa"/>
          </w:tcPr>
          <w:p>
            <w:pPr>
              <w:spacing w:line="320" w:lineRule="exact"/>
              <w:rPr>
                <w:rFonts w:ascii="仿宋" w:hAnsi="仿宋" w:eastAsia="仿宋"/>
                <w:b w:val="0"/>
                <w:bCs/>
                <w:szCs w:val="21"/>
              </w:rPr>
            </w:pPr>
            <w:r>
              <w:rPr>
                <w:rFonts w:hint="eastAsia" w:ascii="宋体" w:hAnsi="宋体" w:eastAsia="宋体"/>
                <w:bCs/>
                <w:color w:val="000000"/>
                <w:sz w:val="24"/>
                <w:szCs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750" w:type="dxa"/>
          </w:tcPr>
          <w:p>
            <w:pPr>
              <w:numPr>
                <w:ilvl w:val="0"/>
                <w:numId w:val="0"/>
              </w:numPr>
              <w:spacing w:line="320" w:lineRule="exact"/>
              <w:ind w:leftChars="0"/>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2、</w:t>
            </w:r>
          </w:p>
        </w:tc>
        <w:tc>
          <w:tcPr>
            <w:tcW w:w="1785" w:type="dxa"/>
          </w:tcPr>
          <w:p>
            <w:pPr>
              <w:pStyle w:val="2"/>
              <w:spacing w:line="360" w:lineRule="auto"/>
              <w:rPr>
                <w:rFonts w:hint="eastAsia" w:ascii="仿宋" w:hAnsi="仿宋" w:eastAsia="仿宋" w:cs="仿宋"/>
                <w:b/>
                <w:bCs w:val="0"/>
                <w:sz w:val="24"/>
                <w:szCs w:val="24"/>
              </w:rPr>
            </w:pPr>
            <w:r>
              <w:rPr>
                <w:rFonts w:hint="eastAsia" w:ascii="仿宋" w:hAnsi="仿宋" w:eastAsia="仿宋" w:cs="仿宋"/>
                <w:b/>
                <w:bCs w:val="0"/>
                <w:sz w:val="24"/>
                <w:szCs w:val="24"/>
              </w:rPr>
              <w:t>靠背式功率车</w:t>
            </w:r>
          </w:p>
          <w:p>
            <w:pPr>
              <w:spacing w:line="320" w:lineRule="exact"/>
              <w:rPr>
                <w:rFonts w:hint="eastAsia" w:ascii="仿宋" w:hAnsi="仿宋" w:eastAsia="仿宋" w:cs="仿宋"/>
                <w:b/>
                <w:bCs w:val="0"/>
                <w:sz w:val="24"/>
                <w:szCs w:val="24"/>
                <w:lang w:eastAsia="zh-CN"/>
              </w:rPr>
            </w:pPr>
          </w:p>
        </w:tc>
        <w:tc>
          <w:tcPr>
            <w:tcW w:w="2836" w:type="dxa"/>
          </w:tcPr>
          <w:p>
            <w:pPr>
              <w:pStyle w:val="2"/>
              <w:spacing w:line="360" w:lineRule="auto"/>
              <w:ind w:firstLine="240" w:firstLineChars="100"/>
              <w:rPr>
                <w:rFonts w:hint="eastAsia" w:ascii="仿宋" w:hAnsi="仿宋" w:eastAsia="仿宋" w:cs="仿宋"/>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阻力类型</w:t>
            </w:r>
          </w:p>
        </w:tc>
        <w:tc>
          <w:tcPr>
            <w:tcW w:w="2836"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电脑控制的电磁涡流阻力系统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功率调节范围</w:t>
            </w:r>
          </w:p>
        </w:tc>
        <w:tc>
          <w:tcPr>
            <w:tcW w:w="2836"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6-999瓦</w:t>
            </w:r>
          </w:p>
        </w:tc>
        <w:tc>
          <w:tcPr>
            <w:tcW w:w="855" w:type="dxa"/>
          </w:tcPr>
          <w:p>
            <w:pPr>
              <w:spacing w:line="320" w:lineRule="exact"/>
              <w:rPr>
                <w:rFonts w:ascii="仿宋" w:hAnsi="仿宋" w:eastAsia="仿宋"/>
                <w:b w:val="0"/>
                <w:bCs/>
                <w:szCs w:val="21"/>
              </w:rPr>
            </w:pPr>
            <w:r>
              <w:rPr>
                <w:rFonts w:hint="eastAsia" w:ascii="宋体" w:hAnsi="宋体" w:eastAsia="宋体"/>
                <w:bCs/>
                <w:color w:val="000000"/>
                <w:sz w:val="24"/>
                <w:szCs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负荷递增幅度</w:t>
            </w:r>
          </w:p>
        </w:tc>
        <w:tc>
          <w:tcPr>
            <w:tcW w:w="2836"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≤每1瓦可调</w:t>
            </w:r>
          </w:p>
        </w:tc>
        <w:tc>
          <w:tcPr>
            <w:tcW w:w="855" w:type="dxa"/>
          </w:tcPr>
          <w:p>
            <w:pPr>
              <w:spacing w:line="320" w:lineRule="exact"/>
              <w:rPr>
                <w:rFonts w:ascii="仿宋" w:hAnsi="仿宋" w:eastAsia="仿宋"/>
                <w:b w:val="0"/>
                <w:bCs/>
                <w:szCs w:val="21"/>
              </w:rPr>
            </w:pPr>
            <w:r>
              <w:rPr>
                <w:rFonts w:hint="eastAsia" w:ascii="宋体" w:hAnsi="宋体" w:eastAsia="宋体"/>
                <w:bCs/>
                <w:color w:val="000000"/>
                <w:sz w:val="24"/>
                <w:szCs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2.4</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sz w:val="24"/>
                <w:szCs w:val="24"/>
              </w:rPr>
              <w:t>负荷精确度</w:t>
            </w:r>
          </w:p>
        </w:tc>
        <w:tc>
          <w:tcPr>
            <w:tcW w:w="2836" w:type="dxa"/>
          </w:tcPr>
          <w:p>
            <w:pPr>
              <w:pStyle w:val="2"/>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负荷最大变异系数不大于2%</w:t>
            </w:r>
          </w:p>
        </w:tc>
        <w:tc>
          <w:tcPr>
            <w:tcW w:w="855" w:type="dxa"/>
          </w:tcPr>
          <w:p>
            <w:pPr>
              <w:spacing w:line="320" w:lineRule="exact"/>
              <w:rPr>
                <w:rFonts w:ascii="仿宋" w:hAnsi="仿宋" w:eastAsia="仿宋"/>
                <w:b w:val="0"/>
                <w:bCs/>
                <w:szCs w:val="21"/>
              </w:rPr>
            </w:pPr>
            <w:r>
              <w:rPr>
                <w:rFonts w:hint="eastAsia"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2.5</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无偏差标准</w:t>
            </w:r>
          </w:p>
        </w:tc>
        <w:tc>
          <w:tcPr>
            <w:tcW w:w="2836" w:type="dxa"/>
          </w:tcPr>
          <w:p>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无偏差DIN VDE 0750-238标准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2.6</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转速范围</w:t>
            </w:r>
          </w:p>
        </w:tc>
        <w:tc>
          <w:tcPr>
            <w:tcW w:w="2836" w:type="dxa"/>
            <w:vAlign w:val="top"/>
          </w:tcPr>
          <w:p>
            <w:pPr>
              <w:pStyle w:val="2"/>
              <w:spacing w:line="360" w:lineRule="auto"/>
              <w:rPr>
                <w:rFonts w:hint="eastAsia" w:ascii="仿宋" w:hAnsi="仿宋" w:eastAsia="仿宋" w:cs="仿宋"/>
                <w:bCs/>
                <w:color w:val="000000"/>
                <w:sz w:val="24"/>
                <w:szCs w:val="24"/>
                <w:lang w:eastAsia="zh-CN"/>
              </w:rPr>
            </w:pPr>
            <w:r>
              <w:rPr>
                <w:rFonts w:hint="eastAsia" w:ascii="仿宋" w:hAnsi="仿宋" w:eastAsia="仿宋" w:cs="仿宋"/>
                <w:sz w:val="24"/>
                <w:szCs w:val="24"/>
              </w:rPr>
              <w:t>30–130转/分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2.7</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sz w:val="24"/>
                <w:szCs w:val="24"/>
              </w:rPr>
              <w:t>适合患者身高范围</w:t>
            </w:r>
          </w:p>
        </w:tc>
        <w:tc>
          <w:tcPr>
            <w:tcW w:w="2836" w:type="dxa"/>
            <w:vAlign w:val="top"/>
          </w:tcPr>
          <w:p>
            <w:pPr>
              <w:pStyle w:val="2"/>
              <w:spacing w:line="360" w:lineRule="auto"/>
              <w:rPr>
                <w:rFonts w:hint="eastAsia" w:ascii="仿宋" w:hAnsi="仿宋" w:eastAsia="仿宋" w:cs="仿宋"/>
                <w:bCs/>
                <w:color w:val="000000"/>
                <w:sz w:val="24"/>
                <w:szCs w:val="24"/>
                <w:lang w:eastAsia="zh-CN"/>
              </w:rPr>
            </w:pPr>
            <w:r>
              <w:rPr>
                <w:rFonts w:hint="eastAsia" w:ascii="仿宋" w:hAnsi="仿宋" w:eastAsia="仿宋" w:cs="仿宋"/>
                <w:sz w:val="24"/>
                <w:szCs w:val="24"/>
              </w:rPr>
              <w:t>150-210厘米</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2.8</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座椅宽度</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≥54厘米</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2.9</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最大可承重</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300公斤</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2.10</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座椅调节</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座椅前后距离应可调节</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2.11</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座椅靠背角度调节</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座椅靠背角度应可调节</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2.12</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治疗师显示器中图形需有显示以下指标</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负荷,转速,时间,血压,心率</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2.13</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患者显示器(LED)显示以下指标</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转速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2.14</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按键</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薄膜按键</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2.15</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功率车应自带程序</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功率车应自带程序：</w:t>
            </w:r>
            <w:r>
              <w:rPr>
                <w:rFonts w:hint="eastAsia" w:ascii="仿宋" w:hAnsi="仿宋" w:eastAsia="仿宋" w:cs="仿宋"/>
                <w:sz w:val="24"/>
                <w:szCs w:val="24"/>
              </w:rPr>
              <w:t>5种固定运动负荷测试方案（WHO、BAL、Hollman、STD.France、Standard），10种用户可编辑运动负荷测试方案，用户手动控制负荷模式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2.16</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接口</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数字接口(RS-232)连接管理系统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2.17</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数据无线传输，可通过心脏康复管理系统无线下达测试方案和运动方案</w:t>
            </w:r>
            <w:r>
              <w:rPr>
                <w:rFonts w:hint="eastAsia" w:ascii="仿宋" w:hAnsi="仿宋" w:eastAsia="仿宋" w:cs="仿宋"/>
                <w:sz w:val="24"/>
                <w:szCs w:val="24"/>
                <w:lang w:eastAsia="zh-CN"/>
              </w:rPr>
              <w:t>，要求方案包括：</w:t>
            </w:r>
          </w:p>
        </w:tc>
        <w:tc>
          <w:tcPr>
            <w:tcW w:w="2836" w:type="dxa"/>
            <w:vAlign w:val="top"/>
          </w:tcPr>
          <w:p>
            <w:pPr>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rPr>
              <w:t>数据无线传输，可通过心脏康复管理系统无线下达测试方案和运动方案（包含恒定负荷方案，间歇负荷方案，恒定心率方案，间歇恒定心率等多种训练方案）</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r>
              <w:rPr>
                <w:rFonts w:hint="eastAsia" w:ascii="仿宋" w:hAnsi="仿宋" w:eastAsia="仿宋" w:cs="仿宋"/>
                <w:b/>
                <w:bCs/>
                <w:sz w:val="24"/>
                <w:szCs w:val="24"/>
              </w:rPr>
              <w:t>3、</w:t>
            </w:r>
          </w:p>
        </w:tc>
        <w:tc>
          <w:tcPr>
            <w:tcW w:w="1785" w:type="dxa"/>
            <w:vAlign w:val="top"/>
          </w:tcPr>
          <w:p>
            <w:pPr>
              <w:pStyle w:val="2"/>
              <w:spacing w:line="360" w:lineRule="auto"/>
              <w:rPr>
                <w:rFonts w:hint="eastAsia" w:ascii="仿宋" w:hAnsi="仿宋" w:eastAsia="仿宋" w:cs="仿宋"/>
                <w:b/>
                <w:bCs/>
                <w:sz w:val="24"/>
                <w:szCs w:val="24"/>
              </w:rPr>
            </w:pPr>
            <w:r>
              <w:rPr>
                <w:rFonts w:hint="eastAsia" w:ascii="仿宋" w:hAnsi="仿宋" w:eastAsia="仿宋" w:cs="仿宋"/>
                <w:b/>
                <w:bCs/>
                <w:sz w:val="24"/>
                <w:szCs w:val="24"/>
              </w:rPr>
              <w:t>手摇功率车</w:t>
            </w:r>
          </w:p>
          <w:p>
            <w:pPr>
              <w:jc w:val="both"/>
              <w:rPr>
                <w:rFonts w:hint="eastAsia" w:ascii="仿宋" w:hAnsi="仿宋" w:eastAsia="仿宋" w:cs="仿宋"/>
                <w:sz w:val="24"/>
                <w:szCs w:val="24"/>
                <w:lang w:eastAsia="zh-CN"/>
              </w:rPr>
            </w:pPr>
          </w:p>
        </w:tc>
        <w:tc>
          <w:tcPr>
            <w:tcW w:w="2836" w:type="dxa"/>
            <w:vAlign w:val="top"/>
          </w:tcPr>
          <w:p>
            <w:pPr>
              <w:pStyle w:val="2"/>
              <w:spacing w:line="360" w:lineRule="auto"/>
              <w:ind w:firstLine="240" w:firstLineChars="100"/>
              <w:rPr>
                <w:rFonts w:hint="eastAsia" w:ascii="仿宋" w:hAnsi="仿宋" w:eastAsia="仿宋" w:cs="仿宋"/>
                <w:kern w:val="0"/>
                <w:sz w:val="24"/>
                <w:szCs w:val="24"/>
                <w:lang w:val="en-US"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阻力类型:</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电脑控制的电磁涡流阻力系统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3.2</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功率调节范围</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6-999瓦</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负荷递增幅度≤</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每1瓦可调</w:t>
            </w:r>
          </w:p>
        </w:tc>
        <w:tc>
          <w:tcPr>
            <w:tcW w:w="855" w:type="dxa"/>
          </w:tcPr>
          <w:p>
            <w:pPr>
              <w:spacing w:line="320" w:lineRule="exact"/>
              <w:rPr>
                <w:rFonts w:ascii="仿宋" w:hAnsi="仿宋" w:eastAsia="仿宋"/>
                <w:b w:val="0"/>
                <w:bCs/>
                <w:szCs w:val="21"/>
              </w:rPr>
            </w:pPr>
            <w:r>
              <w:rPr>
                <w:rFonts w:hint="eastAsia" w:ascii="宋体" w:hAnsi="宋体" w:eastAsia="宋体"/>
                <w:bCs/>
                <w:color w:val="000000"/>
                <w:sz w:val="24"/>
                <w:szCs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3.4</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负荷精确度：</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负荷最大变异系数不大于2%</w:t>
            </w:r>
          </w:p>
        </w:tc>
        <w:tc>
          <w:tcPr>
            <w:tcW w:w="855" w:type="dxa"/>
          </w:tcPr>
          <w:p>
            <w:pPr>
              <w:spacing w:line="320" w:lineRule="exact"/>
              <w:rPr>
                <w:rFonts w:ascii="仿宋" w:hAnsi="仿宋" w:eastAsia="仿宋"/>
                <w:b w:val="0"/>
                <w:bCs/>
                <w:szCs w:val="21"/>
              </w:rPr>
            </w:pPr>
            <w:r>
              <w:rPr>
                <w:rFonts w:hint="eastAsia" w:ascii="宋体" w:hAnsi="宋体" w:eastAsia="宋体"/>
                <w:bCs/>
                <w:color w:val="000000"/>
                <w:sz w:val="24"/>
                <w:szCs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符合标准</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 xml:space="preserve">符合DIN VDE 0750-238标准 </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3.6</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转速范围</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30–130转/分</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3.7</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座椅宽度</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≥50厘米</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3.8</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最大可承重</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 xml:space="preserve">≥120公斤 </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3.9</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功率车高度调节</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功率车高度应可调</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3.10</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患者坐轮椅进行训练。</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患者应可坐在轮椅上进行训练</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3.11</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治疗师显示器中图形需有显示以下指标</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负荷,转速,时间,血压,心率</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3.12</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患者显示以下指标：</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转速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3.13</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按键</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薄膜按键</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3.14</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功率车自带程序</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5种固定运动负荷测试方案（WHO、BAL、Hollman、STD.France、Standard），10种用户可编辑运动负荷测试方案，用户手动控制负荷模式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3.15</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接口</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rPr>
              <w:t>数字接口(RS-232)连接管理系统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3.16</w:t>
            </w: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rPr>
              <w:t>数据无线传输</w:t>
            </w:r>
            <w:r>
              <w:rPr>
                <w:rFonts w:hint="eastAsia" w:ascii="仿宋" w:hAnsi="仿宋" w:eastAsia="仿宋" w:cs="仿宋"/>
                <w:sz w:val="24"/>
                <w:szCs w:val="24"/>
                <w:lang w:eastAsia="zh-CN"/>
              </w:rPr>
              <w:t>测试，运动方案。</w:t>
            </w:r>
          </w:p>
        </w:tc>
        <w:tc>
          <w:tcPr>
            <w:tcW w:w="2836" w:type="dxa"/>
            <w:vAlign w:val="top"/>
          </w:tcPr>
          <w:p>
            <w:pPr>
              <w:pStyle w:val="2"/>
              <w:spacing w:line="360" w:lineRule="auto"/>
              <w:rPr>
                <w:rFonts w:hint="eastAsia" w:ascii="仿宋" w:hAnsi="仿宋" w:eastAsia="仿宋" w:cs="仿宋"/>
                <w:kern w:val="0"/>
                <w:sz w:val="24"/>
                <w:szCs w:val="24"/>
                <w:lang w:val="en-US" w:eastAsia="zh-CN"/>
              </w:rPr>
            </w:pPr>
            <w:r>
              <w:rPr>
                <w:rFonts w:hint="eastAsia" w:ascii="仿宋" w:hAnsi="仿宋" w:eastAsia="仿宋" w:cs="仿宋"/>
                <w:sz w:val="24"/>
                <w:szCs w:val="24"/>
                <w:lang w:eastAsia="zh-CN"/>
              </w:rPr>
              <w:t>数据传输</w:t>
            </w:r>
            <w:r>
              <w:rPr>
                <w:rFonts w:hint="eastAsia" w:ascii="仿宋" w:hAnsi="仿宋" w:eastAsia="仿宋" w:cs="仿宋"/>
                <w:sz w:val="24"/>
                <w:szCs w:val="24"/>
              </w:rPr>
              <w:t>可通过心脏康复管理系统无线下达测试方案和运动方案（包含恒定负荷方案，间歇负荷方案，恒定心率方案）</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售后</w:t>
            </w:r>
          </w:p>
        </w:tc>
        <w:tc>
          <w:tcPr>
            <w:tcW w:w="2836" w:type="dxa"/>
            <w:vAlign w:val="top"/>
          </w:tcPr>
          <w:p>
            <w:pPr>
              <w:spacing w:line="320" w:lineRule="exact"/>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售后服务要求：整机免费保修三年（含所有零部件，包括须定期更换零部件）。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其他</w:t>
            </w:r>
          </w:p>
        </w:tc>
        <w:tc>
          <w:tcPr>
            <w:tcW w:w="2836" w:type="dxa"/>
            <w:vAlign w:val="top"/>
          </w:tcPr>
          <w:p>
            <w:pPr>
              <w:spacing w:line="320" w:lineRule="exact"/>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bl>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681A6F"/>
    <w:multiLevelType w:val="singleLevel"/>
    <w:tmpl w:val="71681A6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3D5CD2"/>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3DF5996"/>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2352</Words>
  <Characters>2718</Characters>
  <Lines>6</Lines>
  <Paragraphs>1</Paragraphs>
  <TotalTime>2</TotalTime>
  <ScaleCrop>false</ScaleCrop>
  <LinksUpToDate>false</LinksUpToDate>
  <CharactersWithSpaces>2913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2022-06-14T00:16:07Z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E1F0005FCD164080BB9FA53A09E4A49F</vt:lpwstr>
  </property>
</Properties>
</file>