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心脏康复管理系统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eastAsia="zh-CN"/>
        </w:rPr>
        <w:t>设备科：</w:t>
      </w:r>
      <w:r>
        <w:rPr>
          <w:rFonts w:hint="eastAsia" w:ascii="仿宋" w:hAnsi="仿宋" w:eastAsia="仿宋"/>
          <w:szCs w:val="21"/>
          <w:u w:val="single"/>
          <w:lang w:val="en-US" w:eastAsia="zh-CN"/>
        </w:rPr>
        <w:t>3362790562@qq.com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9"/>
          <w:rFonts w:hint="eastAsia" w:ascii="仿宋" w:hAnsi="仿宋" w:eastAsia="仿宋" w:cs="仿宋"/>
          <w:b w:val="0"/>
          <w:bCs/>
          <w:color w:val="auto"/>
          <w:sz w:val="21"/>
          <w:szCs w:val="21"/>
          <w:lang w:eastAsia="zh-CN"/>
        </w:rPr>
        <w:t>具备</w:t>
      </w:r>
      <w:r>
        <w:rPr>
          <w:rStyle w:val="1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3年以上，保修范围不包含须定期更换零部件，须定期更换零部件报价清单如下...；二是将须定期更换零部件变为耗材，恶意降低货物价格，提高耗材价（或直接提高耗材报价）。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9"/>
          <w:rFonts w:hint="eastAsia" w:ascii="仿宋" w:hAnsi="仿宋" w:eastAsia="仿宋" w:cs="仿宋"/>
          <w:b/>
          <w:bCs w:val="0"/>
          <w:color w:val="auto"/>
          <w:sz w:val="21"/>
          <w:szCs w:val="21"/>
          <w:lang w:eastAsia="zh-CN"/>
        </w:rPr>
        <w:t>或具备</w:t>
      </w:r>
      <w:r>
        <w:rPr>
          <w:rStyle w:val="19"/>
          <w:rFonts w:hint="eastAsia" w:ascii="仿宋" w:hAnsi="仿宋" w:eastAsia="仿宋" w:cs="仿宋"/>
          <w:b/>
          <w:bCs w:val="0"/>
          <w:color w:val="auto"/>
          <w:sz w:val="21"/>
          <w:szCs w:val="21"/>
          <w:lang w:val="en-US" w:eastAsia="zh-CN"/>
        </w:rPr>
        <w:t>CMA【或CNAS】资质检测机构）</w:t>
      </w:r>
      <w:r>
        <w:rPr>
          <w:rStyle w:val="19"/>
          <w:rFonts w:hint="eastAsia" w:ascii="仿宋" w:hAnsi="仿宋" w:eastAsia="仿宋" w:cs="仿宋"/>
          <w:b w:val="0"/>
          <w:bCs/>
          <w:color w:val="auto"/>
          <w:sz w:val="21"/>
          <w:szCs w:val="21"/>
          <w:lang w:val="en-US" w:eastAsia="zh-CN"/>
        </w:rPr>
        <w:t>出具的</w:t>
      </w:r>
      <w:r>
        <w:rPr>
          <w:rStyle w:val="19"/>
          <w:rFonts w:hint="eastAsia" w:ascii="仿宋" w:hAnsi="仿宋" w:eastAsia="仿宋" w:cs="仿宋"/>
          <w:b w:val="0"/>
          <w:bCs/>
          <w:color w:val="auto"/>
          <w:sz w:val="21"/>
          <w:szCs w:val="21"/>
        </w:rPr>
        <w:t>质检报告原件扫描件</w:t>
      </w:r>
      <w:r>
        <w:rPr>
          <w:rStyle w:val="1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9"/>
          <w:rFonts w:hint="eastAsia" w:ascii="仿宋" w:hAnsi="仿宋" w:eastAsia="仿宋" w:cs="仿宋"/>
          <w:b w:val="0"/>
          <w:bCs/>
          <w:color w:val="auto"/>
          <w:sz w:val="21"/>
          <w:szCs w:val="21"/>
        </w:rPr>
        <w:t>食药监局</w:t>
      </w:r>
      <w:r>
        <w:rPr>
          <w:rStyle w:val="19"/>
          <w:rFonts w:hint="eastAsia" w:ascii="仿宋" w:hAnsi="仿宋" w:eastAsia="仿宋" w:cs="仿宋"/>
          <w:b w:val="0"/>
          <w:bCs/>
          <w:color w:val="auto"/>
          <w:sz w:val="21"/>
          <w:szCs w:val="21"/>
          <w:lang w:eastAsia="zh-CN"/>
        </w:rPr>
        <w:t>或</w:t>
      </w:r>
      <w:r>
        <w:rPr>
          <w:rStyle w:val="19"/>
          <w:rFonts w:hint="eastAsia" w:ascii="仿宋" w:hAnsi="仿宋" w:eastAsia="仿宋" w:cs="仿宋"/>
          <w:b w:val="0"/>
          <w:bCs/>
          <w:color w:val="auto"/>
          <w:sz w:val="21"/>
          <w:szCs w:val="21"/>
        </w:rPr>
        <w:t>其下属单位</w:t>
      </w:r>
      <w:r>
        <w:rPr>
          <w:rStyle w:val="1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4"/>
        <w:tblW w:w="97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3"/>
        <w:gridCol w:w="1663"/>
        <w:gridCol w:w="3045"/>
        <w:gridCol w:w="855"/>
        <w:gridCol w:w="885"/>
        <w:gridCol w:w="855"/>
        <w:gridCol w:w="1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226"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8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8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75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663"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663"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0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85" w:type="dxa"/>
            <w:vMerge w:val="continue"/>
          </w:tcPr>
          <w:p>
            <w:pPr>
              <w:spacing w:line="320" w:lineRule="exact"/>
              <w:rPr>
                <w:rFonts w:ascii="仿宋" w:hAnsi="仿宋" w:eastAsia="仿宋"/>
                <w:b w:val="0"/>
                <w:bCs/>
                <w:szCs w:val="21"/>
              </w:rPr>
            </w:pPr>
          </w:p>
        </w:tc>
        <w:tc>
          <w:tcPr>
            <w:tcW w:w="855" w:type="dxa"/>
            <w:vMerge w:val="continue"/>
          </w:tcPr>
          <w:p>
            <w:pPr>
              <w:spacing w:line="320" w:lineRule="exact"/>
              <w:rPr>
                <w:rFonts w:ascii="仿宋" w:hAnsi="仿宋" w:eastAsia="仿宋"/>
                <w:b w:val="0"/>
                <w:bCs/>
                <w:szCs w:val="21"/>
              </w:rPr>
            </w:pPr>
          </w:p>
        </w:tc>
        <w:tc>
          <w:tcPr>
            <w:tcW w:w="175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0"/>
              </w:numPr>
              <w:spacing w:line="320" w:lineRule="exact"/>
              <w:ind w:leftChars="0"/>
              <w:jc w:val="both"/>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w:t>
            </w:r>
          </w:p>
        </w:tc>
        <w:tc>
          <w:tcPr>
            <w:tcW w:w="1663" w:type="dxa"/>
            <w:vAlign w:val="top"/>
          </w:tcPr>
          <w:p>
            <w:pPr>
              <w:jc w:val="both"/>
              <w:rPr>
                <w:rFonts w:hint="eastAsia" w:ascii="仿宋" w:hAnsi="仿宋" w:eastAsia="仿宋" w:cs="仿宋"/>
                <w:b/>
                <w:bCs w:val="0"/>
                <w:sz w:val="24"/>
                <w:szCs w:val="24"/>
              </w:rPr>
            </w:pPr>
            <w:r>
              <w:rPr>
                <w:rFonts w:hint="eastAsia" w:ascii="仿宋" w:hAnsi="仿宋" w:eastAsia="仿宋" w:cs="仿宋"/>
                <w:b/>
                <w:bCs w:val="0"/>
                <w:sz w:val="24"/>
                <w:szCs w:val="24"/>
              </w:rPr>
              <w:t>心脏康复管理系统</w:t>
            </w:r>
          </w:p>
        </w:tc>
        <w:tc>
          <w:tcPr>
            <w:tcW w:w="3045" w:type="dxa"/>
            <w:vAlign w:val="top"/>
          </w:tcPr>
          <w:p>
            <w:pPr>
              <w:spacing w:line="360" w:lineRule="auto"/>
              <w:jc w:val="center"/>
              <w:rPr>
                <w:rFonts w:hint="eastAsia" w:ascii="仿宋" w:hAnsi="仿宋" w:eastAsia="仿宋" w:cs="仿宋"/>
                <w:sz w:val="24"/>
                <w:szCs w:val="24"/>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用户个人信息</w:t>
            </w:r>
          </w:p>
        </w:tc>
        <w:tc>
          <w:tcPr>
            <w:tcW w:w="3045" w:type="dxa"/>
            <w:vAlign w:val="top"/>
          </w:tcPr>
          <w:p>
            <w:pPr>
              <w:spacing w:line="360" w:lineRule="auto"/>
              <w:jc w:val="center"/>
              <w:rPr>
                <w:rFonts w:hint="eastAsia" w:ascii="仿宋" w:hAnsi="仿宋" w:eastAsia="仿宋" w:cs="仿宋"/>
                <w:b w:val="0"/>
                <w:bCs/>
                <w:sz w:val="24"/>
                <w:szCs w:val="24"/>
                <w:lang w:eastAsia="zh-CN"/>
              </w:rPr>
            </w:pPr>
            <w:r>
              <w:rPr>
                <w:rFonts w:hint="eastAsia" w:ascii="仿宋" w:hAnsi="仿宋" w:eastAsia="仿宋" w:cs="仿宋"/>
                <w:sz w:val="24"/>
                <w:szCs w:val="24"/>
              </w:rPr>
              <w:t>1、用户个人信息：用户的基本信息（包括身高、体重、年龄、电话等相关信息），主要功能包括新建、修改、查询、删除人员信息以及人员相关的评估量表管理</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lang w:eastAsia="zh-CN"/>
              </w:rPr>
              <w:t>心肺功能评估</w:t>
            </w:r>
          </w:p>
        </w:tc>
        <w:tc>
          <w:tcPr>
            <w:tcW w:w="3045" w:type="dxa"/>
            <w:vAlign w:val="top"/>
          </w:tcPr>
          <w:p>
            <w:pPr>
              <w:spacing w:line="360" w:lineRule="auto"/>
              <w:jc w:val="center"/>
              <w:rPr>
                <w:rFonts w:hint="eastAsia" w:ascii="仿宋" w:hAnsi="仿宋" w:eastAsia="仿宋" w:cs="仿宋"/>
                <w:b w:val="0"/>
                <w:bCs/>
                <w:sz w:val="24"/>
                <w:szCs w:val="24"/>
                <w:lang w:eastAsia="zh-CN"/>
              </w:rPr>
            </w:pPr>
            <w:r>
              <w:rPr>
                <w:rFonts w:hint="eastAsia" w:ascii="仿宋" w:hAnsi="仿宋" w:eastAsia="仿宋" w:cs="仿宋"/>
                <w:sz w:val="24"/>
                <w:szCs w:val="24"/>
              </w:rPr>
              <w:t>提供用户的心肺功能评估数据，包含用户运动心肺评估数据记录</w:t>
            </w:r>
          </w:p>
        </w:tc>
        <w:tc>
          <w:tcPr>
            <w:tcW w:w="855" w:type="dxa"/>
          </w:tcPr>
          <w:p>
            <w:pPr>
              <w:spacing w:line="320" w:lineRule="exact"/>
              <w:ind w:firstLine="210" w:firstLineChars="100"/>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rPr>
            </w:pPr>
            <w:r>
              <w:rPr>
                <w:rFonts w:hint="eastAsia" w:ascii="仿宋" w:hAnsi="仿宋" w:eastAsia="仿宋" w:cs="仿宋"/>
                <w:sz w:val="24"/>
                <w:szCs w:val="24"/>
              </w:rPr>
              <w:t>量表评估</w:t>
            </w:r>
          </w:p>
        </w:tc>
        <w:tc>
          <w:tcPr>
            <w:tcW w:w="3045" w:type="dxa"/>
            <w:vAlign w:val="top"/>
          </w:tcPr>
          <w:p>
            <w:pPr>
              <w:spacing w:line="360" w:lineRule="auto"/>
              <w:jc w:val="center"/>
              <w:rPr>
                <w:rFonts w:hint="eastAsia" w:ascii="仿宋" w:hAnsi="仿宋" w:eastAsia="仿宋" w:cs="仿宋"/>
                <w:b w:val="0"/>
                <w:bCs/>
                <w:sz w:val="24"/>
                <w:szCs w:val="24"/>
                <w:lang w:eastAsia="zh-CN"/>
              </w:rPr>
            </w:pPr>
            <w:r>
              <w:rPr>
                <w:rFonts w:hint="eastAsia" w:ascii="仿宋" w:hAnsi="仿宋" w:eastAsia="仿宋" w:cs="仿宋"/>
                <w:sz w:val="24"/>
                <w:szCs w:val="24"/>
              </w:rPr>
              <w:t>涵盖心脏康复临床使用的多张量表：目前诊断治疗调查表、冠心病危险因素调查表、危险程度分级评定、肌肉适能评定、柔韧性适能评定、平衡性适能评定、Barthel指数评定、工具性日常生活评定、焦虑抑郁量表、生活质量评估量表、匹兹堡睡眠质量评定、烟草依赖表、躯体化针状自评量表、职业评估量表，量表可根据临床使用情况进行增加或删减</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运动心肺处方</w:t>
            </w:r>
          </w:p>
        </w:tc>
        <w:tc>
          <w:tcPr>
            <w:tcW w:w="3045" w:type="dxa"/>
            <w:vAlign w:val="top"/>
          </w:tcPr>
          <w:p>
            <w:pPr>
              <w:spacing w:line="360" w:lineRule="auto"/>
              <w:jc w:val="center"/>
              <w:rPr>
                <w:rFonts w:hint="eastAsia" w:ascii="仿宋" w:hAnsi="仿宋" w:eastAsia="仿宋" w:cs="仿宋"/>
                <w:b w:val="0"/>
                <w:bCs/>
                <w:sz w:val="24"/>
                <w:szCs w:val="24"/>
                <w:lang w:eastAsia="zh-CN"/>
              </w:rPr>
            </w:pPr>
            <w:r>
              <w:rPr>
                <w:rFonts w:hint="eastAsia" w:ascii="仿宋" w:hAnsi="仿宋" w:eastAsia="仿宋" w:cs="仿宋"/>
                <w:sz w:val="24"/>
                <w:szCs w:val="24"/>
              </w:rPr>
              <w:t>运动心肺评估完后提供完整的运动心肺报告（从运动心肺设备采集得到）</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rPr>
            </w:pPr>
            <w:r>
              <w:rPr>
                <w:rFonts w:hint="eastAsia" w:ascii="仿宋" w:hAnsi="仿宋" w:eastAsia="仿宋" w:cs="仿宋"/>
                <w:sz w:val="24"/>
                <w:szCs w:val="24"/>
              </w:rPr>
              <w:t>心电报告</w:t>
            </w:r>
          </w:p>
        </w:tc>
        <w:tc>
          <w:tcPr>
            <w:tcW w:w="3045"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sz w:val="24"/>
                <w:szCs w:val="24"/>
              </w:rPr>
              <w:t>可以单独查看用户心肺功能评估时的心电报告（从运动心肺设备采集得到）</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rPr>
            </w:pPr>
            <w:r>
              <w:rPr>
                <w:rFonts w:hint="eastAsia" w:ascii="仿宋" w:hAnsi="仿宋" w:eastAsia="仿宋" w:cs="仿宋"/>
                <w:sz w:val="24"/>
                <w:szCs w:val="24"/>
              </w:rPr>
              <w:t>健康方案</w:t>
            </w:r>
          </w:p>
        </w:tc>
        <w:tc>
          <w:tcPr>
            <w:tcW w:w="3045"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sz w:val="24"/>
                <w:szCs w:val="24"/>
              </w:rPr>
              <w:t>为用户提供通过评估检测后的健康方案，包含运动处方、营养处方、睡眠处方、心理处方、药物处方五个方面（从运动心肺设备采集得到）</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运动处方</w:t>
            </w:r>
          </w:p>
        </w:tc>
        <w:tc>
          <w:tcPr>
            <w:tcW w:w="3045" w:type="dxa"/>
            <w:vAlign w:val="top"/>
          </w:tcPr>
          <w:p>
            <w:pPr>
              <w:spacing w:line="360" w:lineRule="auto"/>
              <w:jc w:val="center"/>
              <w:rPr>
                <w:rFonts w:hint="eastAsia" w:ascii="仿宋" w:hAnsi="仿宋" w:eastAsia="仿宋" w:cs="仿宋"/>
                <w:b w:val="0"/>
                <w:bCs/>
                <w:sz w:val="24"/>
                <w:szCs w:val="24"/>
                <w:lang w:eastAsia="zh-CN"/>
              </w:rPr>
            </w:pPr>
            <w:r>
              <w:rPr>
                <w:rFonts w:hint="eastAsia" w:ascii="仿宋" w:hAnsi="仿宋" w:eastAsia="仿宋" w:cs="仿宋"/>
                <w:sz w:val="24"/>
                <w:szCs w:val="24"/>
              </w:rPr>
              <w:t>软件自动给用户提供运动处方（可人工修改）</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lang w:eastAsia="zh-CN"/>
              </w:rPr>
              <w:t>系统控制要求</w:t>
            </w:r>
          </w:p>
        </w:tc>
        <w:tc>
          <w:tcPr>
            <w:tcW w:w="3045"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sz w:val="24"/>
                <w:szCs w:val="24"/>
              </w:rPr>
              <w:t>系统可同时控制不少于26台功率车，可生成训练方案并实时监测和调整患者训练情况，训练过程中可通过系统随时调节功率车阻力（提供检验报告）</w:t>
            </w:r>
            <w:r>
              <w:rPr>
                <w:rFonts w:hint="eastAsia" w:ascii="仿宋" w:hAnsi="仿宋" w:eastAsia="仿宋" w:cs="仿宋"/>
                <w:sz w:val="24"/>
                <w:szCs w:val="24"/>
                <w:lang w:eastAsia="zh-CN"/>
              </w:rPr>
              <w:t>。</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lang w:eastAsia="zh-CN"/>
              </w:rPr>
              <w:t>软件系统</w:t>
            </w:r>
          </w:p>
        </w:tc>
        <w:tc>
          <w:tcPr>
            <w:tcW w:w="3045" w:type="dxa"/>
            <w:vAlign w:val="top"/>
          </w:tcPr>
          <w:p>
            <w:pPr>
              <w:spacing w:line="360" w:lineRule="auto"/>
              <w:jc w:val="center"/>
              <w:rPr>
                <w:rFonts w:hint="eastAsia" w:ascii="仿宋" w:hAnsi="仿宋" w:eastAsia="仿宋" w:cs="仿宋"/>
                <w:b w:val="0"/>
                <w:bCs/>
                <w:sz w:val="24"/>
                <w:szCs w:val="24"/>
                <w:lang w:eastAsia="zh-CN"/>
              </w:rPr>
            </w:pPr>
            <w:r>
              <w:rPr>
                <w:rFonts w:hint="eastAsia" w:ascii="仿宋" w:hAnsi="仿宋" w:eastAsia="仿宋" w:cs="仿宋"/>
                <w:sz w:val="24"/>
                <w:szCs w:val="24"/>
              </w:rPr>
              <w:t>软件系统提供中文语言</w:t>
            </w:r>
            <w:r>
              <w:rPr>
                <w:rFonts w:hint="eastAsia" w:ascii="仿宋" w:hAnsi="仿宋" w:eastAsia="仿宋" w:cs="仿宋"/>
                <w:sz w:val="24"/>
                <w:szCs w:val="24"/>
                <w:lang w:eastAsia="zh-CN"/>
              </w:rPr>
              <w:t>。</w:t>
            </w:r>
          </w:p>
        </w:tc>
        <w:tc>
          <w:tcPr>
            <w:tcW w:w="855" w:type="dxa"/>
          </w:tcPr>
          <w:p>
            <w:pPr>
              <w:spacing w:line="320" w:lineRule="exact"/>
              <w:ind w:firstLine="210" w:firstLineChars="100"/>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lang w:eastAsia="zh-CN"/>
              </w:rPr>
              <w:t>系统内置</w:t>
            </w:r>
          </w:p>
        </w:tc>
        <w:tc>
          <w:tcPr>
            <w:tcW w:w="3045" w:type="dxa"/>
            <w:vAlign w:val="top"/>
          </w:tcPr>
          <w:p>
            <w:pPr>
              <w:spacing w:line="360" w:lineRule="auto"/>
              <w:jc w:val="center"/>
              <w:rPr>
                <w:rFonts w:hint="eastAsia" w:ascii="仿宋" w:hAnsi="仿宋" w:eastAsia="仿宋" w:cs="仿宋"/>
                <w:b w:val="0"/>
                <w:bCs/>
                <w:sz w:val="24"/>
                <w:szCs w:val="24"/>
                <w:lang w:eastAsia="zh-CN"/>
              </w:rPr>
            </w:pPr>
            <w:r>
              <w:rPr>
                <w:rFonts w:hint="eastAsia" w:ascii="仿宋" w:hAnsi="仿宋" w:eastAsia="仿宋" w:cs="仿宋"/>
                <w:sz w:val="24"/>
                <w:szCs w:val="24"/>
              </w:rPr>
              <w:t>系统内置卡尔文靶心率公式，方便通过不同方式</w:t>
            </w:r>
            <w:r>
              <w:rPr>
                <w:rFonts w:hint="eastAsia" w:ascii="仿宋" w:hAnsi="仿宋" w:eastAsia="仿宋" w:cs="仿宋"/>
                <w:sz w:val="24"/>
                <w:szCs w:val="24"/>
                <w:lang w:eastAsia="zh-CN"/>
              </w:rPr>
              <w:t>计</w:t>
            </w:r>
            <w:r>
              <w:rPr>
                <w:rFonts w:hint="eastAsia" w:ascii="仿宋" w:hAnsi="仿宋" w:eastAsia="仿宋" w:cs="仿宋"/>
                <w:sz w:val="24"/>
                <w:szCs w:val="24"/>
              </w:rPr>
              <w:t>算、设定运动处方</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sz w:val="24"/>
                <w:szCs w:val="24"/>
              </w:rPr>
              <w:t>防止信号干扰方案</w:t>
            </w:r>
            <w:r>
              <w:rPr>
                <w:rFonts w:hint="eastAsia" w:ascii="仿宋" w:hAnsi="仿宋" w:eastAsia="仿宋" w:cs="仿宋"/>
                <w:sz w:val="24"/>
                <w:szCs w:val="24"/>
                <w:lang w:eastAsia="zh-CN"/>
              </w:rPr>
              <w:t>。</w:t>
            </w:r>
          </w:p>
        </w:tc>
        <w:tc>
          <w:tcPr>
            <w:tcW w:w="3045" w:type="dxa"/>
          </w:tcPr>
          <w:p>
            <w:pPr>
              <w:spacing w:line="360" w:lineRule="auto"/>
              <w:rPr>
                <w:rFonts w:hint="eastAsia" w:ascii="仿宋" w:hAnsi="仿宋" w:eastAsia="仿宋" w:cs="仿宋"/>
                <w:b w:val="0"/>
                <w:bCs/>
                <w:sz w:val="24"/>
                <w:szCs w:val="24"/>
                <w:lang w:eastAsia="zh-CN"/>
              </w:rPr>
            </w:pPr>
            <w:r>
              <w:rPr>
                <w:rFonts w:hint="eastAsia" w:ascii="仿宋" w:hAnsi="仿宋" w:eastAsia="仿宋" w:cs="仿宋"/>
                <w:sz w:val="24"/>
                <w:szCs w:val="24"/>
              </w:rPr>
              <w:t>需提供防止信号干扰方案，保证心电信号稳定及功率车数据传输稳定</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sz w:val="24"/>
                <w:szCs w:val="24"/>
              </w:rPr>
              <w:t>软件需具有数据实时显示功能</w:t>
            </w:r>
            <w:r>
              <w:rPr>
                <w:rFonts w:hint="eastAsia" w:ascii="仿宋" w:hAnsi="仿宋" w:eastAsia="仿宋" w:cs="仿宋"/>
                <w:sz w:val="24"/>
                <w:szCs w:val="24"/>
                <w:lang w:eastAsia="zh-CN"/>
              </w:rPr>
              <w:t>。</w:t>
            </w:r>
          </w:p>
        </w:tc>
        <w:tc>
          <w:tcPr>
            <w:tcW w:w="3045" w:type="dxa"/>
          </w:tcPr>
          <w:p>
            <w:pPr>
              <w:spacing w:line="360" w:lineRule="auto"/>
              <w:rPr>
                <w:rFonts w:hint="eastAsia" w:ascii="仿宋" w:hAnsi="仿宋" w:eastAsia="仿宋" w:cs="仿宋"/>
                <w:b/>
                <w:bCs/>
                <w:color w:val="000000"/>
                <w:sz w:val="24"/>
                <w:szCs w:val="24"/>
                <w:lang w:eastAsia="zh-CN"/>
              </w:rPr>
            </w:pPr>
            <w:r>
              <w:rPr>
                <w:rFonts w:hint="eastAsia" w:ascii="仿宋" w:hAnsi="仿宋" w:eastAsia="仿宋" w:cs="仿宋"/>
                <w:sz w:val="24"/>
                <w:szCs w:val="24"/>
              </w:rPr>
              <w:t>软件需具有数据实时显示功能,可对训练过程中患者的训练负荷、训练时间、转速等训练数据在显示屏上实时同步显示,使治疗师能够在训练过程中的任何时刻对患者训练情况进行快速评估</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训练数据要求</w:t>
            </w:r>
          </w:p>
        </w:tc>
        <w:tc>
          <w:tcPr>
            <w:tcW w:w="3045" w:type="dxa"/>
          </w:tcPr>
          <w:p>
            <w:pPr>
              <w:spacing w:line="360" w:lineRule="auto"/>
              <w:rPr>
                <w:rFonts w:hint="eastAsia" w:ascii="仿宋" w:hAnsi="仿宋" w:eastAsia="仿宋" w:cs="仿宋"/>
                <w:b/>
                <w:bCs/>
                <w:color w:val="000000"/>
                <w:sz w:val="24"/>
                <w:szCs w:val="24"/>
                <w:lang w:eastAsia="zh-CN"/>
              </w:rPr>
            </w:pPr>
            <w:r>
              <w:rPr>
                <w:rFonts w:hint="eastAsia" w:ascii="仿宋" w:hAnsi="仿宋" w:eastAsia="仿宋" w:cs="仿宋"/>
                <w:sz w:val="24"/>
                <w:szCs w:val="24"/>
              </w:rPr>
              <w:t>训练过程中，需保证心电、心率、血氧数据与训练轨迹同屏显示（提供检验报告图片）</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软件需为不同用户提供个性化运动处方。</w:t>
            </w:r>
          </w:p>
        </w:tc>
        <w:tc>
          <w:tcPr>
            <w:tcW w:w="3045" w:type="dxa"/>
          </w:tcPr>
          <w:p>
            <w:pPr>
              <w:spacing w:line="360" w:lineRule="auto"/>
              <w:rPr>
                <w:rFonts w:hint="eastAsia" w:ascii="仿宋" w:hAnsi="仿宋" w:eastAsia="仿宋" w:cs="仿宋"/>
                <w:b/>
                <w:bCs/>
                <w:color w:val="000000"/>
                <w:sz w:val="24"/>
                <w:szCs w:val="24"/>
                <w:lang w:eastAsia="zh-CN"/>
              </w:rPr>
            </w:pPr>
            <w:r>
              <w:rPr>
                <w:rFonts w:hint="eastAsia" w:ascii="仿宋" w:hAnsi="仿宋" w:eastAsia="仿宋" w:cs="仿宋"/>
                <w:sz w:val="24"/>
                <w:szCs w:val="24"/>
              </w:rPr>
              <w:t>软件可为不同用户设定个性化运动处方，并且提供多种运动处方训练模板，包括：恒定功率控制模式、间歇负荷训练模式、恒定心率训练模式、间歇恒定心率、自定义模式等多种训练模式</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2"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文档存储要求</w:t>
            </w:r>
          </w:p>
        </w:tc>
        <w:tc>
          <w:tcPr>
            <w:tcW w:w="3045" w:type="dxa"/>
          </w:tcPr>
          <w:p>
            <w:pPr>
              <w:spacing w:line="360" w:lineRule="auto"/>
              <w:rPr>
                <w:rFonts w:hint="eastAsia" w:ascii="仿宋" w:hAnsi="仿宋" w:eastAsia="仿宋" w:cs="仿宋"/>
                <w:b/>
                <w:bCs/>
                <w:color w:val="000000"/>
                <w:sz w:val="24"/>
                <w:szCs w:val="24"/>
                <w:lang w:eastAsia="zh-CN"/>
              </w:rPr>
            </w:pPr>
            <w:r>
              <w:rPr>
                <w:rFonts w:hint="eastAsia" w:ascii="仿宋" w:hAnsi="仿宋" w:eastAsia="仿宋" w:cs="仿宋"/>
                <w:sz w:val="24"/>
                <w:szCs w:val="24"/>
              </w:rPr>
              <w:t>文档需存储所有训练数据,支持多种方式显示以及打印输出格式</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2"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训练数据对比</w:t>
            </w:r>
          </w:p>
        </w:tc>
        <w:tc>
          <w:tcPr>
            <w:tcW w:w="3045" w:type="dxa"/>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可对多次训练数据进行对比，呈现训练进展</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2"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训练过程实时调整模式，参数等要求</w:t>
            </w:r>
          </w:p>
        </w:tc>
        <w:tc>
          <w:tcPr>
            <w:tcW w:w="3045" w:type="dxa"/>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训练过程中可以实时调整运动模式、训练负荷、训练时间等训练参数，并且可在任意时间进行目标心率训练方案与恒定负荷训练方案的切换。在任何需要的时候，可以随时停止任何一项的训练，或者随时切换到恢复阶段</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2"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报警功能</w:t>
            </w:r>
          </w:p>
        </w:tc>
        <w:tc>
          <w:tcPr>
            <w:tcW w:w="3045" w:type="dxa"/>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软件中具备报警功能：可设置训练中的最大心率、血氧等监测参数，训练过程中，超出设定数值时，软件可报警提醒、进入恢复阶段或停止训练</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2"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训练数据回放功能</w:t>
            </w:r>
          </w:p>
        </w:tc>
        <w:tc>
          <w:tcPr>
            <w:tcW w:w="3045" w:type="dxa"/>
          </w:tcPr>
          <w:p>
            <w:pPr>
              <w:pStyle w:val="2"/>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训练数据回放功能：训练后可随时同步查看运动过程中的心电、心率、血氧、负荷等生理参数和运动参数</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2"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训练</w:t>
            </w:r>
          </w:p>
        </w:tc>
        <w:tc>
          <w:tcPr>
            <w:tcW w:w="3045" w:type="dxa"/>
          </w:tcPr>
          <w:p>
            <w:pPr>
              <w:pStyle w:val="2"/>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训练结束后患者伯格运动感觉量表（RPE）记录和以彩色文本形式呈现</w:t>
            </w:r>
          </w:p>
        </w:tc>
        <w:tc>
          <w:tcPr>
            <w:tcW w:w="855" w:type="dxa"/>
          </w:tcPr>
          <w:p>
            <w:pPr>
              <w:spacing w:line="320" w:lineRule="exact"/>
              <w:rPr>
                <w:rFonts w:ascii="仿宋" w:hAnsi="仿宋" w:eastAsia="仿宋"/>
                <w:b w:val="0"/>
                <w:bCs/>
                <w:szCs w:val="21"/>
              </w:rPr>
            </w:pPr>
            <w:r>
              <w:rPr>
                <w:rFonts w:hint="eastAsia"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无线控制</w:t>
            </w:r>
          </w:p>
        </w:tc>
        <w:tc>
          <w:tcPr>
            <w:tcW w:w="3045" w:type="dxa"/>
          </w:tcPr>
          <w:p>
            <w:pPr>
              <w:pStyle w:val="11"/>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系统可以无线控制有氧功率车、阻抗训练器、跑台等多种训练设备</w:t>
            </w:r>
            <w:bookmarkStart w:id="0" w:name="_GoBack"/>
            <w:bookmarkEnd w:id="0"/>
          </w:p>
        </w:tc>
        <w:tc>
          <w:tcPr>
            <w:tcW w:w="855" w:type="dxa"/>
          </w:tcPr>
          <w:p>
            <w:pPr>
              <w:spacing w:line="320" w:lineRule="exact"/>
              <w:rPr>
                <w:rFonts w:ascii="仿宋" w:hAnsi="仿宋" w:eastAsia="仿宋"/>
                <w:b w:val="0"/>
                <w:bCs/>
                <w:szCs w:val="21"/>
              </w:rPr>
            </w:pPr>
            <w:r>
              <w:rPr>
                <w:rFonts w:hint="eastAsia"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7"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lang w:eastAsia="zh-CN"/>
              </w:rPr>
              <w:t>售后</w:t>
            </w:r>
          </w:p>
        </w:tc>
        <w:tc>
          <w:tcPr>
            <w:tcW w:w="3045" w:type="dxa"/>
            <w:vAlign w:val="top"/>
          </w:tcPr>
          <w:p>
            <w:pPr>
              <w:spacing w:line="320" w:lineRule="exact"/>
              <w:rPr>
                <w:rFonts w:hint="eastAsia" w:ascii="仿宋" w:hAnsi="仿宋" w:eastAsia="仿宋" w:cs="仿宋"/>
                <w:bCs/>
                <w:color w:val="000000"/>
                <w:sz w:val="24"/>
                <w:szCs w:val="24"/>
              </w:rPr>
            </w:pPr>
            <w:r>
              <w:rPr>
                <w:rFonts w:hint="eastAsia" w:ascii="仿宋" w:hAnsi="仿宋" w:eastAsia="仿宋" w:cs="仿宋"/>
                <w:kern w:val="0"/>
                <w:sz w:val="24"/>
                <w:szCs w:val="24"/>
                <w:lang w:val="en-US" w:eastAsia="zh-CN"/>
              </w:rPr>
              <w:t>售后服务要求：整机免费保修三年（含所有零部件，包括须定期更换零部件）。</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97" w:hRule="atLeast"/>
        </w:trPr>
        <w:tc>
          <w:tcPr>
            <w:tcW w:w="663"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663"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lang w:eastAsia="zh-CN"/>
              </w:rPr>
              <w:t>其他</w:t>
            </w:r>
          </w:p>
        </w:tc>
        <w:tc>
          <w:tcPr>
            <w:tcW w:w="3045" w:type="dxa"/>
            <w:vAlign w:val="top"/>
          </w:tcPr>
          <w:p>
            <w:pPr>
              <w:spacing w:line="320" w:lineRule="exact"/>
              <w:rPr>
                <w:rFonts w:hint="eastAsia" w:ascii="仿宋" w:hAnsi="仿宋" w:eastAsia="仿宋" w:cs="仿宋"/>
                <w:bCs/>
                <w:color w:val="000000"/>
                <w:sz w:val="24"/>
                <w:szCs w:val="24"/>
              </w:rPr>
            </w:pPr>
            <w:r>
              <w:rPr>
                <w:rFonts w:hint="eastAsia" w:ascii="仿宋" w:hAnsi="仿宋" w:eastAsia="仿宋" w:cs="仿宋"/>
                <w:kern w:val="0"/>
                <w:sz w:val="24"/>
                <w:szCs w:val="24"/>
                <w:lang w:val="en-US" w:eastAsia="zh-CN"/>
              </w:rPr>
              <w:t>提供近3年内同机型设备国内医院用户合同5家及以上，标书内提供清晰的合同原件扫描件并加盖公章（遮盖认定为无效业绩）。</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bl>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4"/>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1681A6F"/>
    <w:multiLevelType w:val="singleLevel"/>
    <w:tmpl w:val="71681A6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NzhkNjAxMzFkOTZhZGM2YWZlNmFhZjExMzRmN2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7937AC"/>
    <w:rsid w:val="1A8F6DD6"/>
    <w:rsid w:val="1AC057F3"/>
    <w:rsid w:val="1B101758"/>
    <w:rsid w:val="1B9F31F9"/>
    <w:rsid w:val="1BD75F88"/>
    <w:rsid w:val="1BD91B12"/>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1D63524"/>
    <w:rsid w:val="221F22B3"/>
    <w:rsid w:val="2233022B"/>
    <w:rsid w:val="22421C49"/>
    <w:rsid w:val="22426CD1"/>
    <w:rsid w:val="22E90E34"/>
    <w:rsid w:val="23035A4C"/>
    <w:rsid w:val="231D1DD1"/>
    <w:rsid w:val="233B51A7"/>
    <w:rsid w:val="235130BE"/>
    <w:rsid w:val="23EE25BB"/>
    <w:rsid w:val="23F938FE"/>
    <w:rsid w:val="25552E7D"/>
    <w:rsid w:val="25720D38"/>
    <w:rsid w:val="25CB2A80"/>
    <w:rsid w:val="25E05DF6"/>
    <w:rsid w:val="263225F6"/>
    <w:rsid w:val="264C3185"/>
    <w:rsid w:val="27E16F51"/>
    <w:rsid w:val="28102089"/>
    <w:rsid w:val="28632016"/>
    <w:rsid w:val="2873238A"/>
    <w:rsid w:val="2880296F"/>
    <w:rsid w:val="28C732A1"/>
    <w:rsid w:val="28F516D7"/>
    <w:rsid w:val="29194CF5"/>
    <w:rsid w:val="29977838"/>
    <w:rsid w:val="29AB61F3"/>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080A5F"/>
    <w:rsid w:val="32905CAB"/>
    <w:rsid w:val="32B51A27"/>
    <w:rsid w:val="32FA6504"/>
    <w:rsid w:val="330A11E9"/>
    <w:rsid w:val="335210D7"/>
    <w:rsid w:val="33D54BEA"/>
    <w:rsid w:val="34E12746"/>
    <w:rsid w:val="355A5092"/>
    <w:rsid w:val="356C1CB1"/>
    <w:rsid w:val="357E5017"/>
    <w:rsid w:val="358D3127"/>
    <w:rsid w:val="35A119F9"/>
    <w:rsid w:val="35E52E60"/>
    <w:rsid w:val="35F25ED4"/>
    <w:rsid w:val="362339C7"/>
    <w:rsid w:val="367F3DA1"/>
    <w:rsid w:val="36AC7731"/>
    <w:rsid w:val="36F1454D"/>
    <w:rsid w:val="37CF3484"/>
    <w:rsid w:val="37D710BC"/>
    <w:rsid w:val="37E17463"/>
    <w:rsid w:val="384637F8"/>
    <w:rsid w:val="38DC31DA"/>
    <w:rsid w:val="3A636FDD"/>
    <w:rsid w:val="3A7537C9"/>
    <w:rsid w:val="3B126CF0"/>
    <w:rsid w:val="3B354EAA"/>
    <w:rsid w:val="3B927DA6"/>
    <w:rsid w:val="3BC12604"/>
    <w:rsid w:val="3C36245C"/>
    <w:rsid w:val="3C5820D4"/>
    <w:rsid w:val="3C5D298C"/>
    <w:rsid w:val="3C60338E"/>
    <w:rsid w:val="3C840FCA"/>
    <w:rsid w:val="3CA90ECD"/>
    <w:rsid w:val="3CAE4D3F"/>
    <w:rsid w:val="3D3943C1"/>
    <w:rsid w:val="3DBA0CE8"/>
    <w:rsid w:val="3DC926AD"/>
    <w:rsid w:val="3E291783"/>
    <w:rsid w:val="3EA6197C"/>
    <w:rsid w:val="3F253EC2"/>
    <w:rsid w:val="3FDE6FD5"/>
    <w:rsid w:val="4015650F"/>
    <w:rsid w:val="40676830"/>
    <w:rsid w:val="40F06215"/>
    <w:rsid w:val="411101D9"/>
    <w:rsid w:val="41197F7B"/>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00679"/>
    <w:rsid w:val="53F31105"/>
    <w:rsid w:val="54665390"/>
    <w:rsid w:val="54777B6E"/>
    <w:rsid w:val="54796820"/>
    <w:rsid w:val="5490517C"/>
    <w:rsid w:val="54DF553D"/>
    <w:rsid w:val="556B4EDD"/>
    <w:rsid w:val="55DD08C4"/>
    <w:rsid w:val="560343FB"/>
    <w:rsid w:val="562F7E20"/>
    <w:rsid w:val="565C5E10"/>
    <w:rsid w:val="56605C0D"/>
    <w:rsid w:val="566C55F5"/>
    <w:rsid w:val="568C5B7C"/>
    <w:rsid w:val="5719718C"/>
    <w:rsid w:val="576F4F06"/>
    <w:rsid w:val="58780095"/>
    <w:rsid w:val="58F451C8"/>
    <w:rsid w:val="599704D6"/>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420590"/>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adjustRightInd w:val="0"/>
      <w:snapToGrid w:val="0"/>
    </w:pPr>
    <w:rPr>
      <w:rFonts w:ascii="Tahoma" w:hAnsi="Tahoma" w:eastAsia="微软雅黑" w:cs="Times New Roman"/>
      <w:sz w:val="22"/>
      <w:szCs w:val="22"/>
      <w:lang w:val="en-US" w:eastAsia="zh-CN" w:bidi="ar-SA"/>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qFormat/>
    <w:uiPriority w:val="0"/>
    <w:pPr>
      <w:spacing w:after="120"/>
      <w:ind w:left="420" w:leftChars="200"/>
    </w:pPr>
    <w:rPr>
      <w:rFonts w:ascii="宋体"/>
    </w:rPr>
  </w:style>
  <w:style w:type="paragraph" w:styleId="7">
    <w:name w:val="envelope return"/>
    <w:basedOn w:val="1"/>
    <w:qFormat/>
    <w:uiPriority w:val="0"/>
    <w:pPr>
      <w:snapToGrid w:val="0"/>
    </w:pPr>
    <w:rPr>
      <w:rFonts w:ascii="Arial" w:hAnsi="Arial"/>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next w:val="12"/>
    <w:unhideWhenUsed/>
    <w:qFormat/>
    <w:uiPriority w:val="0"/>
    <w:pPr>
      <w:ind w:firstLine="420" w:firstLineChars="200"/>
    </w:pPr>
  </w:style>
  <w:style w:type="paragraph" w:customStyle="1" w:styleId="1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qFormat/>
    <w:uiPriority w:val="99"/>
    <w:rPr>
      <w:sz w:val="18"/>
      <w:szCs w:val="18"/>
    </w:rPr>
  </w:style>
  <w:style w:type="paragraph" w:customStyle="1" w:styleId="18">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qFormat/>
    <w:uiPriority w:val="0"/>
  </w:style>
  <w:style w:type="paragraph" w:customStyle="1" w:styleId="20">
    <w:name w:val="List Paragraph"/>
    <w:basedOn w:val="1"/>
    <w:qFormat/>
    <w:uiPriority w:val="34"/>
    <w:pPr>
      <w:ind w:firstLine="420" w:firstLineChars="200"/>
    </w:pPr>
    <w:rPr>
      <w:rFonts w:asciiTheme="minorHAnsi" w:hAnsiTheme="minorHAnsi" w:eastAsiaTheme="minorEastAsia" w:cstheme="minorBidi"/>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2473</Words>
  <Characters>2533</Characters>
  <Lines>6</Lines>
  <Paragraphs>1</Paragraphs>
  <TotalTime>7</TotalTime>
  <ScaleCrop>false</ScaleCrop>
  <LinksUpToDate>false</LinksUpToDate>
  <CharactersWithSpaces>2720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2022-06-14T00:21:32Z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E9399F76881C41F5AE1B7435C67E2346</vt:lpwstr>
  </property>
</Properties>
</file>