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0B" w:rsidRDefault="00A64287" w:rsidP="00D84D78">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拟购六安市中</w:t>
      </w:r>
      <w:r w:rsidRPr="00B005F8">
        <w:rPr>
          <w:rFonts w:ascii="宋体" w:eastAsia="宋体" w:hAnsi="宋体" w:hint="eastAsia"/>
          <w:b/>
          <w:sz w:val="32"/>
          <w:szCs w:val="32"/>
        </w:rPr>
        <w:t>医院</w:t>
      </w:r>
      <w:bookmarkStart w:id="0" w:name="_GoBack"/>
      <w:r w:rsidR="00B005F8" w:rsidRPr="00BD1B80">
        <w:rPr>
          <w:rFonts w:ascii="宋体" w:eastAsia="宋体" w:hAnsi="宋体" w:cs="仿宋" w:hint="eastAsia"/>
          <w:b/>
          <w:sz w:val="32"/>
          <w:szCs w:val="32"/>
        </w:rPr>
        <w:t>车载远程</w:t>
      </w:r>
      <w:r w:rsidR="00B005F8" w:rsidRPr="00BD1B80">
        <w:rPr>
          <w:rFonts w:ascii="宋体" w:eastAsia="宋体" w:hAnsi="宋体" w:cs="仿宋"/>
          <w:b/>
          <w:sz w:val="32"/>
          <w:szCs w:val="32"/>
        </w:rPr>
        <w:t>心电设备</w:t>
      </w:r>
      <w:r w:rsidRPr="00BD1B80">
        <w:rPr>
          <w:rFonts w:ascii="宋体" w:eastAsia="宋体" w:hAnsi="宋体" w:hint="eastAsia"/>
          <w:b/>
          <w:sz w:val="32"/>
          <w:szCs w:val="32"/>
        </w:rPr>
        <w:t>项目</w:t>
      </w:r>
      <w:bookmarkEnd w:id="0"/>
      <w:r w:rsidRPr="00BD1B80">
        <w:rPr>
          <w:rFonts w:ascii="宋体" w:eastAsia="宋体" w:hAnsi="宋体" w:hint="eastAsia"/>
          <w:b/>
          <w:sz w:val="32"/>
          <w:szCs w:val="32"/>
        </w:rPr>
        <w:t>初</w:t>
      </w:r>
      <w:r w:rsidRPr="00B005F8">
        <w:rPr>
          <w:rFonts w:ascii="宋体" w:eastAsia="宋体" w:hAnsi="宋体" w:hint="eastAsia"/>
          <w:b/>
          <w:sz w:val="32"/>
          <w:szCs w:val="32"/>
        </w:rPr>
        <w:t>步</w:t>
      </w:r>
      <w:r>
        <w:rPr>
          <w:rFonts w:asciiTheme="majorEastAsia" w:eastAsiaTheme="majorEastAsia" w:hAnsiTheme="majorEastAsia" w:hint="eastAsia"/>
          <w:b/>
          <w:sz w:val="32"/>
          <w:szCs w:val="32"/>
        </w:rPr>
        <w:t>参数</w:t>
      </w:r>
    </w:p>
    <w:p w:rsidR="0003480B" w:rsidRDefault="00A64287">
      <w:pPr>
        <w:spacing w:line="320" w:lineRule="exact"/>
        <w:jc w:val="center"/>
        <w:rPr>
          <w:rFonts w:ascii="仿宋" w:eastAsia="仿宋" w:hAnsi="仿宋"/>
          <w:b/>
          <w:sz w:val="24"/>
          <w:szCs w:val="24"/>
        </w:rPr>
      </w:pPr>
      <w:r>
        <w:rPr>
          <w:rFonts w:asciiTheme="majorEastAsia" w:eastAsiaTheme="majorEastAsia" w:hAnsiTheme="majorEastAsia" w:hint="eastAsia"/>
          <w:b/>
          <w:sz w:val="32"/>
          <w:szCs w:val="32"/>
        </w:rPr>
        <w:t>论证征集意见表</w:t>
      </w:r>
    </w:p>
    <w:p w:rsidR="0003480B" w:rsidRDefault="0003480B">
      <w:pPr>
        <w:spacing w:line="320" w:lineRule="exact"/>
        <w:rPr>
          <w:rFonts w:ascii="仿宋" w:eastAsia="仿宋" w:hAnsi="仿宋"/>
          <w:sz w:val="24"/>
          <w:szCs w:val="24"/>
        </w:rPr>
      </w:pPr>
    </w:p>
    <w:p w:rsidR="0003480B" w:rsidRDefault="00A64287">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03480B" w:rsidRDefault="00A64287">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03480B" w:rsidRDefault="00A64287">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w:t>
      </w:r>
    </w:p>
    <w:p w:rsidR="0003480B" w:rsidRDefault="00A64287">
      <w:pPr>
        <w:spacing w:line="320" w:lineRule="exact"/>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03480B" w:rsidRDefault="00A64287">
      <w:pPr>
        <w:spacing w:line="320" w:lineRule="exact"/>
        <w:rPr>
          <w:rFonts w:ascii="仿宋" w:eastAsia="仿宋" w:hAnsi="仿宋"/>
          <w:szCs w:val="21"/>
        </w:rPr>
      </w:pPr>
      <w:r>
        <w:rPr>
          <w:rFonts w:ascii="仿宋" w:eastAsia="仿宋" w:hAnsi="仿宋" w:hint="eastAsia"/>
          <w:szCs w:val="21"/>
        </w:rPr>
        <w:t xml:space="preserve">      3、相关归口科室在发布本征集意见表时原则上应以</w:t>
      </w:r>
      <w:r>
        <w:rPr>
          <w:rFonts w:ascii="仿宋" w:eastAsia="仿宋" w:hAnsi="仿宋" w:hint="eastAsia"/>
          <w:b/>
          <w:szCs w:val="21"/>
          <w:u w:val="single"/>
        </w:rPr>
        <w:t>扫描件形式挂网</w:t>
      </w:r>
      <w:r>
        <w:rPr>
          <w:rFonts w:ascii="仿宋" w:eastAsia="仿宋" w:hAnsi="仿宋" w:hint="eastAsia"/>
          <w:szCs w:val="21"/>
        </w:rPr>
        <w:t>，潜在报名供应商依次：一是下载打印，二是手写建议修改指标和本产品相对应的真实指标【标注是否为独家】，三是每页加盖公章并以扫描件形式在规定时间内发至医院指定邮箱（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Segoe UI Symbol" w:eastAsia="Segoe UI Symbol" w:hAnsi="Segoe UI Symbol" w:hint="eastAsia"/>
          <w:szCs w:val="21"/>
        </w:rPr>
        <w:t>☑</w:t>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hyperlink r:id="rId8" w:history="1">
        <w:r>
          <w:rPr>
            <w:rFonts w:ascii="仿宋" w:eastAsia="仿宋" w:hAnsi="仿宋" w:hint="eastAsia"/>
            <w:szCs w:val="21"/>
          </w:rPr>
          <w:t>49275253</w:t>
        </w:r>
        <w:r>
          <w:rPr>
            <w:rStyle w:val="a6"/>
            <w:rFonts w:ascii="仿宋" w:eastAsia="仿宋" w:hAnsi="仿宋"/>
            <w:color w:val="auto"/>
            <w:szCs w:val="21"/>
            <w:u w:val="none"/>
          </w:rPr>
          <w:t>@qq.com</w:t>
        </w:r>
      </w:hyperlink>
      <w:r>
        <w:rPr>
          <w:rFonts w:ascii="仿宋" w:eastAsia="仿宋" w:hAnsi="仿宋"/>
          <w:szCs w:val="21"/>
        </w:rPr>
        <w:t>(</w:t>
      </w:r>
      <w:r>
        <w:rPr>
          <w:rFonts w:ascii="仿宋" w:eastAsia="仿宋" w:hAnsi="仿宋" w:hint="eastAsia"/>
          <w:szCs w:val="21"/>
        </w:rPr>
        <w:t>两个</w:t>
      </w:r>
      <w:r>
        <w:rPr>
          <w:rFonts w:ascii="仿宋" w:eastAsia="仿宋" w:hAnsi="仿宋"/>
          <w:szCs w:val="21"/>
        </w:rPr>
        <w:t>邮箱都需要发送)</w:t>
      </w:r>
      <w:r>
        <w:rPr>
          <w:rFonts w:ascii="仿宋" w:eastAsia="仿宋" w:hAnsi="仿宋" w:hint="eastAsia"/>
          <w:szCs w:val="21"/>
        </w:rPr>
        <w:t>。</w:t>
      </w:r>
    </w:p>
    <w:p w:rsidR="0003480B" w:rsidRDefault="0003480B">
      <w:pPr>
        <w:spacing w:line="320" w:lineRule="exact"/>
        <w:rPr>
          <w:rFonts w:ascii="仿宋" w:eastAsia="仿宋" w:hAnsi="仿宋"/>
          <w:szCs w:val="21"/>
        </w:rPr>
      </w:pPr>
    </w:p>
    <w:p w:rsidR="0003480B" w:rsidRDefault="00A64287">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03480B" w:rsidRDefault="00A64287">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10031" w:type="dxa"/>
        <w:tblLook w:val="04A0" w:firstRow="1" w:lastRow="0" w:firstColumn="1" w:lastColumn="0" w:noHBand="0" w:noVBand="1"/>
      </w:tblPr>
      <w:tblGrid>
        <w:gridCol w:w="427"/>
        <w:gridCol w:w="1319"/>
        <w:gridCol w:w="6046"/>
        <w:gridCol w:w="708"/>
        <w:gridCol w:w="709"/>
        <w:gridCol w:w="822"/>
      </w:tblGrid>
      <w:tr w:rsidR="0003480B" w:rsidTr="00BD1B80">
        <w:tc>
          <w:tcPr>
            <w:tcW w:w="7792" w:type="dxa"/>
            <w:gridSpan w:val="3"/>
            <w:vAlign w:val="center"/>
          </w:tcPr>
          <w:p w:rsidR="0003480B" w:rsidRPr="00B005F8" w:rsidRDefault="00A64287">
            <w:pPr>
              <w:spacing w:line="320" w:lineRule="exact"/>
              <w:jc w:val="center"/>
              <w:rPr>
                <w:rFonts w:ascii="仿宋" w:eastAsia="仿宋" w:hAnsi="仿宋"/>
                <w:b/>
                <w:sz w:val="20"/>
                <w:szCs w:val="21"/>
              </w:rPr>
            </w:pPr>
            <w:r w:rsidRPr="00B005F8">
              <w:rPr>
                <w:rFonts w:ascii="仿宋" w:eastAsia="仿宋" w:hAnsi="仿宋" w:hint="eastAsia"/>
                <w:b/>
                <w:sz w:val="20"/>
                <w:szCs w:val="21"/>
              </w:rPr>
              <w:t>本项目初步参数拟设置情况</w:t>
            </w:r>
          </w:p>
        </w:tc>
        <w:tc>
          <w:tcPr>
            <w:tcW w:w="708" w:type="dxa"/>
            <w:vMerge w:val="restart"/>
            <w:vAlign w:val="center"/>
          </w:tcPr>
          <w:p w:rsidR="0003480B" w:rsidRPr="00B005F8" w:rsidRDefault="00A64287">
            <w:pPr>
              <w:spacing w:line="320" w:lineRule="exact"/>
              <w:jc w:val="center"/>
              <w:rPr>
                <w:rFonts w:ascii="仿宋" w:hAnsi="仿宋"/>
                <w:b/>
                <w:sz w:val="20"/>
                <w:szCs w:val="21"/>
              </w:rPr>
            </w:pPr>
            <w:r w:rsidRPr="00B005F8">
              <w:rPr>
                <w:rFonts w:ascii="仿宋" w:eastAsia="仿宋" w:hAnsi="仿宋" w:hint="eastAsia"/>
                <w:b/>
                <w:sz w:val="20"/>
                <w:szCs w:val="21"/>
              </w:rPr>
              <w:t>响应情况</w:t>
            </w:r>
          </w:p>
        </w:tc>
        <w:tc>
          <w:tcPr>
            <w:tcW w:w="709" w:type="dxa"/>
            <w:vMerge w:val="restart"/>
            <w:vAlign w:val="center"/>
          </w:tcPr>
          <w:p w:rsidR="0003480B" w:rsidRPr="00B005F8" w:rsidRDefault="00A64287">
            <w:pPr>
              <w:spacing w:line="320" w:lineRule="exact"/>
              <w:jc w:val="center"/>
              <w:rPr>
                <w:rFonts w:ascii="仿宋" w:eastAsia="仿宋" w:hAnsi="仿宋"/>
                <w:b/>
                <w:sz w:val="20"/>
                <w:szCs w:val="21"/>
              </w:rPr>
            </w:pPr>
            <w:r w:rsidRPr="00B005F8">
              <w:rPr>
                <w:rFonts w:ascii="仿宋" w:eastAsia="仿宋" w:hAnsi="仿宋" w:hint="eastAsia"/>
                <w:b/>
                <w:sz w:val="20"/>
                <w:szCs w:val="21"/>
              </w:rPr>
              <w:t>建议修改指标</w:t>
            </w:r>
          </w:p>
        </w:tc>
        <w:tc>
          <w:tcPr>
            <w:tcW w:w="822" w:type="dxa"/>
            <w:vMerge w:val="restart"/>
          </w:tcPr>
          <w:p w:rsidR="0003480B" w:rsidRPr="00B005F8" w:rsidRDefault="00A64287">
            <w:pPr>
              <w:spacing w:line="320" w:lineRule="exact"/>
              <w:jc w:val="center"/>
              <w:rPr>
                <w:rFonts w:ascii="仿宋" w:eastAsia="仿宋" w:hAnsi="仿宋"/>
                <w:b/>
                <w:sz w:val="20"/>
                <w:szCs w:val="21"/>
              </w:rPr>
            </w:pPr>
            <w:r w:rsidRPr="00B005F8">
              <w:rPr>
                <w:rFonts w:ascii="仿宋" w:eastAsia="仿宋" w:hAnsi="仿宋" w:hint="eastAsia"/>
                <w:b/>
                <w:sz w:val="20"/>
                <w:szCs w:val="21"/>
              </w:rPr>
              <w:t>备注（真实指标、是否独家）</w:t>
            </w:r>
          </w:p>
        </w:tc>
      </w:tr>
      <w:tr w:rsidR="0003480B" w:rsidTr="00B005F8">
        <w:tc>
          <w:tcPr>
            <w:tcW w:w="427" w:type="dxa"/>
            <w:vAlign w:val="center"/>
          </w:tcPr>
          <w:p w:rsidR="0003480B" w:rsidRDefault="00A64287">
            <w:pPr>
              <w:spacing w:line="320" w:lineRule="exact"/>
              <w:jc w:val="center"/>
              <w:rPr>
                <w:rFonts w:ascii="仿宋" w:eastAsia="仿宋" w:hAnsi="仿宋"/>
                <w:b/>
                <w:szCs w:val="21"/>
              </w:rPr>
            </w:pPr>
            <w:r>
              <w:rPr>
                <w:rFonts w:ascii="仿宋" w:eastAsia="仿宋" w:hAnsi="仿宋" w:hint="eastAsia"/>
                <w:b/>
                <w:szCs w:val="21"/>
              </w:rPr>
              <w:t>序号</w:t>
            </w:r>
          </w:p>
        </w:tc>
        <w:tc>
          <w:tcPr>
            <w:tcW w:w="1319" w:type="dxa"/>
            <w:vAlign w:val="center"/>
          </w:tcPr>
          <w:p w:rsidR="0003480B" w:rsidRDefault="00A64287">
            <w:pPr>
              <w:spacing w:line="320" w:lineRule="exact"/>
              <w:jc w:val="center"/>
              <w:rPr>
                <w:rFonts w:ascii="仿宋" w:eastAsia="仿宋" w:hAnsi="仿宋"/>
                <w:b/>
                <w:szCs w:val="21"/>
              </w:rPr>
            </w:pPr>
            <w:r>
              <w:rPr>
                <w:rFonts w:ascii="仿宋" w:eastAsia="仿宋" w:hAnsi="仿宋" w:hint="eastAsia"/>
                <w:b/>
                <w:szCs w:val="21"/>
              </w:rPr>
              <w:t>参数名称</w:t>
            </w:r>
          </w:p>
        </w:tc>
        <w:tc>
          <w:tcPr>
            <w:tcW w:w="6046" w:type="dxa"/>
            <w:vAlign w:val="center"/>
          </w:tcPr>
          <w:p w:rsidR="0003480B" w:rsidRDefault="00A64287">
            <w:pPr>
              <w:spacing w:line="320" w:lineRule="exact"/>
              <w:jc w:val="center"/>
              <w:rPr>
                <w:rFonts w:ascii="仿宋" w:eastAsia="仿宋" w:hAnsi="仿宋"/>
                <w:b/>
                <w:szCs w:val="21"/>
              </w:rPr>
            </w:pPr>
            <w:r>
              <w:rPr>
                <w:rFonts w:ascii="仿宋" w:eastAsia="仿宋" w:hAnsi="仿宋" w:hint="eastAsia"/>
                <w:b/>
                <w:szCs w:val="21"/>
              </w:rPr>
              <w:t>参数设置</w:t>
            </w:r>
          </w:p>
        </w:tc>
        <w:tc>
          <w:tcPr>
            <w:tcW w:w="708" w:type="dxa"/>
            <w:vMerge/>
            <w:vAlign w:val="center"/>
          </w:tcPr>
          <w:p w:rsidR="0003480B" w:rsidRDefault="0003480B">
            <w:pPr>
              <w:spacing w:line="320" w:lineRule="exact"/>
              <w:rPr>
                <w:rFonts w:ascii="仿宋" w:eastAsia="仿宋" w:hAnsi="仿宋"/>
                <w:szCs w:val="21"/>
              </w:rPr>
            </w:pPr>
          </w:p>
        </w:tc>
        <w:tc>
          <w:tcPr>
            <w:tcW w:w="709" w:type="dxa"/>
            <w:vMerge/>
            <w:vAlign w:val="center"/>
          </w:tcPr>
          <w:p w:rsidR="0003480B" w:rsidRDefault="0003480B">
            <w:pPr>
              <w:spacing w:line="320" w:lineRule="exact"/>
              <w:rPr>
                <w:rFonts w:ascii="仿宋" w:eastAsia="仿宋" w:hAnsi="仿宋"/>
                <w:szCs w:val="21"/>
              </w:rPr>
            </w:pPr>
          </w:p>
        </w:tc>
        <w:tc>
          <w:tcPr>
            <w:tcW w:w="822" w:type="dxa"/>
            <w:vMerge/>
            <w:vAlign w:val="center"/>
          </w:tcPr>
          <w:p w:rsidR="0003480B" w:rsidRDefault="0003480B">
            <w:pPr>
              <w:spacing w:line="320" w:lineRule="exact"/>
              <w:rPr>
                <w:rFonts w:ascii="仿宋" w:eastAsia="仿宋" w:hAnsi="仿宋"/>
                <w:szCs w:val="21"/>
              </w:rPr>
            </w:pPr>
          </w:p>
        </w:tc>
      </w:tr>
      <w:tr w:rsidR="00B005F8" w:rsidTr="00BD1B80">
        <w:trPr>
          <w:trHeight w:val="6420"/>
        </w:trPr>
        <w:tc>
          <w:tcPr>
            <w:tcW w:w="427" w:type="dxa"/>
          </w:tcPr>
          <w:p w:rsidR="00B005F8" w:rsidRPr="00BD1B80" w:rsidRDefault="00B005F8" w:rsidP="00B005F8">
            <w:pPr>
              <w:rPr>
                <w:rFonts w:asciiTheme="minorEastAsia" w:hAnsiTheme="minorEastAsia" w:cs="宋体"/>
                <w:kern w:val="0"/>
                <w:sz w:val="18"/>
                <w:szCs w:val="18"/>
              </w:rPr>
            </w:pPr>
            <w:r w:rsidRPr="00BD1B80">
              <w:rPr>
                <w:rFonts w:asciiTheme="minorEastAsia" w:hAnsiTheme="minorEastAsia" w:cs="宋体" w:hint="eastAsia"/>
                <w:kern w:val="0"/>
                <w:sz w:val="18"/>
                <w:szCs w:val="18"/>
              </w:rPr>
              <w:t>1</w:t>
            </w:r>
          </w:p>
        </w:tc>
        <w:tc>
          <w:tcPr>
            <w:tcW w:w="1319" w:type="dxa"/>
            <w:vAlign w:val="center"/>
          </w:tcPr>
          <w:p w:rsidR="00B005F8" w:rsidRPr="00BD1B80" w:rsidRDefault="00B005F8" w:rsidP="00B005F8">
            <w:pPr>
              <w:rPr>
                <w:rFonts w:asciiTheme="minorEastAsia" w:hAnsiTheme="minorEastAsia" w:cs="宋体" w:hint="eastAsia"/>
                <w:kern w:val="0"/>
                <w:szCs w:val="21"/>
              </w:rPr>
            </w:pPr>
            <w:r w:rsidRPr="00BD1B80">
              <w:rPr>
                <w:rFonts w:asciiTheme="minorEastAsia" w:hAnsiTheme="minorEastAsia" w:cs="宋体" w:hint="eastAsia"/>
                <w:kern w:val="0"/>
                <w:szCs w:val="21"/>
              </w:rPr>
              <w:t>车载远程</w:t>
            </w:r>
            <w:r w:rsidRPr="00BD1B80">
              <w:rPr>
                <w:rFonts w:asciiTheme="minorEastAsia" w:hAnsiTheme="minorEastAsia" w:cs="宋体"/>
                <w:kern w:val="0"/>
                <w:szCs w:val="21"/>
              </w:rPr>
              <w:t>心电设备（</w:t>
            </w:r>
            <w:r w:rsidRPr="00BD1B80">
              <w:rPr>
                <w:rFonts w:asciiTheme="minorEastAsia" w:hAnsiTheme="minorEastAsia" w:cs="宋体" w:hint="eastAsia"/>
                <w:kern w:val="0"/>
                <w:szCs w:val="21"/>
              </w:rPr>
              <w:t>4套</w:t>
            </w:r>
            <w:r w:rsidRPr="00BD1B80">
              <w:rPr>
                <w:rFonts w:asciiTheme="minorEastAsia" w:hAnsiTheme="minorEastAsia" w:cs="宋体"/>
                <w:kern w:val="0"/>
                <w:szCs w:val="21"/>
              </w:rPr>
              <w:t>）</w:t>
            </w:r>
          </w:p>
        </w:tc>
        <w:tc>
          <w:tcPr>
            <w:tcW w:w="6046" w:type="dxa"/>
            <w:vAlign w:val="center"/>
          </w:tcPr>
          <w:p w:rsidR="00B005F8" w:rsidRPr="00B005F8" w:rsidRDefault="00B005F8" w:rsidP="00BD1B80">
            <w:pPr>
              <w:tabs>
                <w:tab w:val="left" w:pos="425"/>
              </w:tabs>
              <w:jc w:val="left"/>
              <w:rPr>
                <w:rFonts w:ascii="宋体" w:eastAsia="宋体" w:hAnsi="宋体" w:cs="宋体"/>
                <w:sz w:val="16"/>
                <w:szCs w:val="21"/>
              </w:rPr>
            </w:pPr>
            <w:r w:rsidRPr="00B005F8">
              <w:rPr>
                <w:rFonts w:ascii="宋体" w:eastAsia="宋体" w:hAnsi="宋体" w:cs="宋体" w:hint="eastAsia"/>
                <w:sz w:val="16"/>
                <w:szCs w:val="21"/>
              </w:rPr>
              <w:t>支持WIFI、4G全网通</w:t>
            </w:r>
          </w:p>
          <w:p w:rsidR="00B005F8" w:rsidRPr="00B005F8" w:rsidRDefault="00B005F8" w:rsidP="00BD1B80">
            <w:pPr>
              <w:tabs>
                <w:tab w:val="left" w:pos="425"/>
              </w:tabs>
              <w:jc w:val="left"/>
              <w:rPr>
                <w:rFonts w:ascii="宋体" w:eastAsia="宋体" w:hAnsi="宋体" w:cs="宋体"/>
                <w:sz w:val="16"/>
                <w:szCs w:val="21"/>
              </w:rPr>
            </w:pPr>
            <w:r w:rsidRPr="00B005F8">
              <w:rPr>
                <w:rFonts w:ascii="宋体" w:eastAsia="宋体" w:hAnsi="宋体" w:cs="宋体" w:hint="eastAsia"/>
                <w:sz w:val="16"/>
                <w:szCs w:val="21"/>
              </w:rPr>
              <w:t>设备体积小巧轻便，标配专用工具箱，方便120车载使用</w:t>
            </w:r>
          </w:p>
          <w:p w:rsidR="00B005F8" w:rsidRPr="00B005F8" w:rsidRDefault="00B005F8" w:rsidP="00BD1B80">
            <w:pPr>
              <w:tabs>
                <w:tab w:val="left" w:pos="425"/>
              </w:tabs>
              <w:jc w:val="left"/>
              <w:rPr>
                <w:rFonts w:ascii="宋体" w:eastAsia="宋体" w:hAnsi="宋体" w:cs="宋体"/>
                <w:sz w:val="16"/>
                <w:szCs w:val="21"/>
              </w:rPr>
            </w:pPr>
            <w:r w:rsidRPr="00B005F8">
              <w:rPr>
                <w:rFonts w:ascii="宋体" w:eastAsia="宋体" w:hAnsi="宋体" w:cs="宋体" w:hint="eastAsia"/>
                <w:sz w:val="16"/>
                <w:szCs w:val="21"/>
              </w:rPr>
              <w:t>★支持外置心电采集放大器与主机之间采用蓝牙方式连接，（以适应多种复杂心电图采集场景，不接受心电采集模块内置的方式）。</w:t>
            </w:r>
          </w:p>
          <w:p w:rsidR="00B005F8" w:rsidRPr="00B005F8" w:rsidRDefault="00B005F8" w:rsidP="00BD1B80">
            <w:pPr>
              <w:tabs>
                <w:tab w:val="left" w:pos="425"/>
              </w:tabs>
              <w:jc w:val="left"/>
              <w:rPr>
                <w:rFonts w:ascii="宋体" w:eastAsia="宋体" w:hAnsi="宋体" w:cs="宋体"/>
                <w:sz w:val="16"/>
                <w:szCs w:val="21"/>
              </w:rPr>
            </w:pPr>
            <w:r w:rsidRPr="00B005F8">
              <w:rPr>
                <w:rFonts w:ascii="宋体" w:eastAsia="宋体" w:hAnsi="宋体" w:cs="宋体" w:hint="eastAsia"/>
                <w:sz w:val="16"/>
                <w:szCs w:val="21"/>
              </w:rPr>
              <w:t>★设备采集的心电数据能发送到医院现有的心电网络平台，满足患者检查数据的共享。</w:t>
            </w:r>
          </w:p>
          <w:p w:rsidR="00B005F8" w:rsidRPr="00B005F8" w:rsidRDefault="00B005F8" w:rsidP="00BD1B80">
            <w:pPr>
              <w:tabs>
                <w:tab w:val="left" w:pos="425"/>
              </w:tabs>
              <w:jc w:val="left"/>
              <w:rPr>
                <w:rFonts w:ascii="宋体" w:eastAsia="宋体" w:hAnsi="宋体" w:cs="宋体"/>
                <w:sz w:val="16"/>
                <w:szCs w:val="21"/>
              </w:rPr>
            </w:pPr>
            <w:r w:rsidRPr="00B005F8">
              <w:rPr>
                <w:rFonts w:ascii="宋体" w:eastAsia="宋体" w:hAnsi="宋体" w:cs="宋体" w:hint="eastAsia"/>
                <w:sz w:val="16"/>
                <w:szCs w:val="21"/>
              </w:rPr>
              <w:t>★支持多导联心电图采集，12导、15导、18导同步心电图采集技术。</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输入阻抗：不低于5MΩ</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输入回路电流：不大于0.1μA。</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共模抑制比：不低于89dB。</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标准灵敏度：10mm/mV+5%。</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定标电压：1mV±5%。</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耐极化电压 ：在±300mV直流极化电压下，灵敏度变化不超过5%</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时间常数：不小于3.2s。</w:t>
            </w:r>
          </w:p>
          <w:p w:rsidR="00B005F8" w:rsidRPr="00B005F8" w:rsidRDefault="00B005F8" w:rsidP="00BD1B80">
            <w:pPr>
              <w:tabs>
                <w:tab w:val="left" w:pos="425"/>
              </w:tabs>
              <w:jc w:val="left"/>
              <w:rPr>
                <w:rFonts w:ascii="宋体" w:eastAsia="宋体" w:hAnsi="宋体" w:cs="宋体"/>
                <w:sz w:val="16"/>
                <w:szCs w:val="21"/>
              </w:rPr>
            </w:pPr>
            <w:r w:rsidRPr="00B005F8">
              <w:rPr>
                <w:rFonts w:ascii="宋体" w:eastAsia="宋体" w:hAnsi="宋体" w:cs="宋体" w:hint="eastAsia"/>
                <w:sz w:val="16"/>
                <w:szCs w:val="21"/>
              </w:rPr>
              <w:t>★支持VCG（空间向量心电图）、TVCG（时间心电向量图）、心室晚电位（VLP）、心率变异(HRV)功能。</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支持心电图事件记录。</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测量参数≥20种</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心电图支持至少20000份病例存储。</w:t>
            </w:r>
          </w:p>
          <w:p w:rsidR="00B005F8" w:rsidRPr="00B005F8" w:rsidRDefault="00B005F8" w:rsidP="00BD1B80">
            <w:pPr>
              <w:tabs>
                <w:tab w:val="left" w:pos="425"/>
              </w:tabs>
              <w:jc w:val="left"/>
              <w:rPr>
                <w:rFonts w:ascii="宋体" w:hAnsi="宋体" w:cs="宋体"/>
                <w:sz w:val="16"/>
                <w:szCs w:val="21"/>
              </w:rPr>
            </w:pPr>
            <w:r w:rsidRPr="00B005F8">
              <w:rPr>
                <w:rFonts w:ascii="宋体" w:eastAsia="宋体" w:hAnsi="宋体" w:cs="宋体" w:hint="eastAsia"/>
                <w:sz w:val="16"/>
                <w:szCs w:val="21"/>
              </w:rPr>
              <w:t>支持美国的FDA-XML、欧洲SCP-ECG等国际标准数据格式存储数据。</w:t>
            </w:r>
          </w:p>
          <w:p w:rsidR="00B005F8" w:rsidRDefault="00B005F8" w:rsidP="00BD1B80">
            <w:pPr>
              <w:jc w:val="left"/>
              <w:rPr>
                <w:rFonts w:ascii="宋体" w:eastAsia="宋体" w:hAnsi="宋体" w:cs="宋体"/>
                <w:bCs/>
                <w:sz w:val="16"/>
                <w:szCs w:val="21"/>
              </w:rPr>
            </w:pPr>
            <w:r w:rsidRPr="00B005F8">
              <w:rPr>
                <w:rFonts w:ascii="宋体" w:eastAsia="宋体" w:hAnsi="宋体" w:cs="宋体" w:hint="eastAsia"/>
                <w:sz w:val="16"/>
                <w:szCs w:val="21"/>
              </w:rPr>
              <w:t>支持系统在线自动更新功能，便于系统升级维护</w:t>
            </w:r>
            <w:r w:rsidRPr="00B005F8">
              <w:rPr>
                <w:rFonts w:ascii="宋体" w:eastAsia="宋体" w:hAnsi="宋体" w:cs="宋体" w:hint="eastAsia"/>
                <w:bCs/>
                <w:sz w:val="16"/>
                <w:szCs w:val="21"/>
              </w:rPr>
              <w:t>。</w:t>
            </w:r>
          </w:p>
          <w:p w:rsidR="00B005F8" w:rsidRPr="00D84D78" w:rsidRDefault="00BD1B80" w:rsidP="00BD1B80">
            <w:pPr>
              <w:jc w:val="left"/>
              <w:rPr>
                <w:rFonts w:ascii="仿宋" w:eastAsia="仿宋" w:hAnsi="仿宋" w:cs="宋体" w:hint="eastAsia"/>
                <w:b/>
                <w:bCs/>
                <w:kern w:val="0"/>
                <w:szCs w:val="21"/>
              </w:rPr>
            </w:pPr>
            <w:r>
              <w:rPr>
                <w:rFonts w:ascii="宋体" w:eastAsia="宋体" w:hAnsi="宋体" w:cs="宋体" w:hint="eastAsia"/>
                <w:bCs/>
                <w:sz w:val="16"/>
                <w:szCs w:val="21"/>
              </w:rPr>
              <w:t>维保</w:t>
            </w:r>
            <w:r>
              <w:rPr>
                <w:rFonts w:ascii="宋体" w:eastAsia="宋体" w:hAnsi="宋体" w:cs="宋体"/>
                <w:bCs/>
                <w:sz w:val="16"/>
                <w:szCs w:val="21"/>
              </w:rPr>
              <w:t>年限≥二年</w:t>
            </w:r>
          </w:p>
        </w:tc>
        <w:tc>
          <w:tcPr>
            <w:tcW w:w="708" w:type="dxa"/>
          </w:tcPr>
          <w:p w:rsidR="00B005F8" w:rsidRDefault="00B005F8" w:rsidP="00B005F8">
            <w:pPr>
              <w:tabs>
                <w:tab w:val="left" w:pos="425"/>
              </w:tabs>
              <w:spacing w:line="300" w:lineRule="exact"/>
              <w:rPr>
                <w:rFonts w:ascii="宋体" w:eastAsia="宋体" w:hAnsi="宋体" w:cs="宋体"/>
                <w:szCs w:val="21"/>
              </w:rPr>
            </w:pPr>
          </w:p>
        </w:tc>
        <w:tc>
          <w:tcPr>
            <w:tcW w:w="709" w:type="dxa"/>
          </w:tcPr>
          <w:p w:rsidR="00B005F8" w:rsidRDefault="00B005F8" w:rsidP="00B005F8">
            <w:pPr>
              <w:spacing w:line="320" w:lineRule="exact"/>
              <w:rPr>
                <w:rFonts w:ascii="仿宋" w:eastAsia="仿宋" w:hAnsi="仿宋"/>
                <w:szCs w:val="21"/>
              </w:rPr>
            </w:pPr>
          </w:p>
        </w:tc>
        <w:tc>
          <w:tcPr>
            <w:tcW w:w="822" w:type="dxa"/>
          </w:tcPr>
          <w:p w:rsidR="00B005F8" w:rsidRDefault="00B005F8" w:rsidP="00B005F8">
            <w:pPr>
              <w:spacing w:line="320" w:lineRule="exact"/>
              <w:rPr>
                <w:rFonts w:ascii="仿宋" w:eastAsia="仿宋" w:hAnsi="仿宋"/>
                <w:szCs w:val="21"/>
              </w:rPr>
            </w:pPr>
          </w:p>
        </w:tc>
      </w:tr>
    </w:tbl>
    <w:p w:rsidR="0003480B" w:rsidRDefault="0003480B">
      <w:pPr>
        <w:spacing w:line="280" w:lineRule="exact"/>
        <w:ind w:firstLineChars="200" w:firstLine="420"/>
        <w:rPr>
          <w:rFonts w:ascii="仿宋" w:eastAsia="仿宋" w:hAnsi="仿宋"/>
          <w:szCs w:val="21"/>
        </w:rPr>
      </w:pPr>
    </w:p>
    <w:p w:rsidR="0003480B" w:rsidRDefault="00A64287">
      <w:pPr>
        <w:spacing w:line="280" w:lineRule="exact"/>
        <w:ind w:firstLineChars="200" w:firstLine="420"/>
        <w:rPr>
          <w:rFonts w:ascii="仿宋" w:eastAsia="仿宋" w:hAnsi="仿宋"/>
          <w:szCs w:val="21"/>
        </w:rPr>
      </w:pPr>
      <w:r>
        <w:rPr>
          <w:rFonts w:ascii="仿宋" w:eastAsia="仿宋" w:hAnsi="仿宋" w:hint="eastAsia"/>
          <w:szCs w:val="21"/>
        </w:rPr>
        <w:lastRenderedPageBreak/>
        <w:t>附：</w:t>
      </w:r>
    </w:p>
    <w:p w:rsidR="0003480B" w:rsidRDefault="00A64287">
      <w:pPr>
        <w:spacing w:line="280" w:lineRule="exact"/>
        <w:ind w:firstLineChars="200" w:firstLine="420"/>
        <w:rPr>
          <w:rFonts w:ascii="仿宋" w:eastAsia="仿宋" w:hAnsi="仿宋"/>
          <w:szCs w:val="21"/>
        </w:rPr>
      </w:pPr>
      <w:r>
        <w:rPr>
          <w:rFonts w:ascii="仿宋" w:eastAsia="仿宋" w:hAnsi="仿宋" w:hint="eastAsia"/>
          <w:szCs w:val="21"/>
        </w:rPr>
        <w:t xml:space="preserve">    配套耗材报价清单（样表，可单列且加盖公章）  </w:t>
      </w:r>
    </w:p>
    <w:tbl>
      <w:tblPr>
        <w:tblStyle w:val="a5"/>
        <w:tblW w:w="10133" w:type="dxa"/>
        <w:tblLook w:val="04A0" w:firstRow="1" w:lastRow="0" w:firstColumn="1" w:lastColumn="0" w:noHBand="0" w:noVBand="1"/>
      </w:tblPr>
      <w:tblGrid>
        <w:gridCol w:w="675"/>
        <w:gridCol w:w="1560"/>
        <w:gridCol w:w="992"/>
        <w:gridCol w:w="1559"/>
        <w:gridCol w:w="1418"/>
        <w:gridCol w:w="1134"/>
        <w:gridCol w:w="2795"/>
      </w:tblGrid>
      <w:tr w:rsidR="0003480B">
        <w:tc>
          <w:tcPr>
            <w:tcW w:w="675" w:type="dxa"/>
          </w:tcPr>
          <w:p w:rsidR="0003480B" w:rsidRDefault="00A64287">
            <w:pPr>
              <w:spacing w:line="280" w:lineRule="exact"/>
              <w:rPr>
                <w:rFonts w:ascii="仿宋" w:eastAsia="仿宋" w:hAnsi="仿宋"/>
                <w:szCs w:val="21"/>
              </w:rPr>
            </w:pPr>
            <w:r>
              <w:rPr>
                <w:rFonts w:ascii="仿宋" w:eastAsia="仿宋" w:hAnsi="仿宋" w:hint="eastAsia"/>
                <w:szCs w:val="21"/>
              </w:rPr>
              <w:t>序号</w:t>
            </w:r>
          </w:p>
        </w:tc>
        <w:tc>
          <w:tcPr>
            <w:tcW w:w="1560" w:type="dxa"/>
          </w:tcPr>
          <w:p w:rsidR="0003480B" w:rsidRDefault="00A64287">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03480B" w:rsidRDefault="00A64287">
            <w:pPr>
              <w:spacing w:line="280" w:lineRule="exact"/>
              <w:rPr>
                <w:rFonts w:ascii="仿宋" w:eastAsia="仿宋" w:hAnsi="仿宋"/>
                <w:szCs w:val="21"/>
              </w:rPr>
            </w:pPr>
            <w:r>
              <w:rPr>
                <w:rFonts w:ascii="仿宋" w:eastAsia="仿宋" w:hAnsi="仿宋" w:hint="eastAsia"/>
                <w:szCs w:val="21"/>
              </w:rPr>
              <w:t>名称</w:t>
            </w:r>
          </w:p>
        </w:tc>
        <w:tc>
          <w:tcPr>
            <w:tcW w:w="1559" w:type="dxa"/>
          </w:tcPr>
          <w:p w:rsidR="0003480B" w:rsidRDefault="00A64287">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03480B" w:rsidRDefault="00A64287">
            <w:pPr>
              <w:spacing w:line="280" w:lineRule="exact"/>
              <w:rPr>
                <w:rFonts w:ascii="仿宋" w:eastAsia="仿宋" w:hAnsi="仿宋"/>
                <w:szCs w:val="21"/>
              </w:rPr>
            </w:pPr>
            <w:r>
              <w:rPr>
                <w:rFonts w:ascii="仿宋" w:eastAsia="仿宋" w:hAnsi="仿宋" w:hint="eastAsia"/>
                <w:szCs w:val="21"/>
              </w:rPr>
              <w:t>价格（元/个）</w:t>
            </w:r>
          </w:p>
        </w:tc>
        <w:tc>
          <w:tcPr>
            <w:tcW w:w="1134" w:type="dxa"/>
          </w:tcPr>
          <w:p w:rsidR="0003480B" w:rsidRDefault="00A64287">
            <w:pPr>
              <w:spacing w:line="280" w:lineRule="exact"/>
              <w:rPr>
                <w:rFonts w:ascii="仿宋" w:eastAsia="仿宋" w:hAnsi="仿宋"/>
                <w:szCs w:val="21"/>
              </w:rPr>
            </w:pPr>
            <w:r>
              <w:rPr>
                <w:rFonts w:ascii="仿宋" w:eastAsia="仿宋" w:hAnsi="仿宋" w:hint="eastAsia"/>
                <w:szCs w:val="21"/>
              </w:rPr>
              <w:t>是否开放</w:t>
            </w:r>
          </w:p>
        </w:tc>
        <w:tc>
          <w:tcPr>
            <w:tcW w:w="2795" w:type="dxa"/>
          </w:tcPr>
          <w:p w:rsidR="0003480B" w:rsidRDefault="00A64287">
            <w:pPr>
              <w:spacing w:line="280" w:lineRule="exact"/>
              <w:rPr>
                <w:rFonts w:ascii="仿宋" w:eastAsia="仿宋" w:hAnsi="仿宋"/>
                <w:szCs w:val="21"/>
              </w:rPr>
            </w:pPr>
            <w:r>
              <w:rPr>
                <w:rFonts w:ascii="仿宋" w:eastAsia="仿宋" w:hAnsi="仿宋" w:hint="eastAsia"/>
                <w:b/>
                <w:szCs w:val="21"/>
              </w:rPr>
              <w:t>经消毒合格后建议使用次数</w:t>
            </w:r>
          </w:p>
        </w:tc>
      </w:tr>
      <w:tr w:rsidR="0003480B">
        <w:tc>
          <w:tcPr>
            <w:tcW w:w="675" w:type="dxa"/>
          </w:tcPr>
          <w:p w:rsidR="0003480B" w:rsidRDefault="00A64287">
            <w:pPr>
              <w:spacing w:line="280" w:lineRule="exact"/>
              <w:rPr>
                <w:rFonts w:ascii="仿宋" w:eastAsia="仿宋" w:hAnsi="仿宋"/>
                <w:szCs w:val="21"/>
              </w:rPr>
            </w:pPr>
            <w:r>
              <w:rPr>
                <w:rFonts w:ascii="仿宋" w:eastAsia="仿宋" w:hAnsi="仿宋" w:hint="eastAsia"/>
                <w:szCs w:val="21"/>
              </w:rPr>
              <w:t>1</w:t>
            </w:r>
          </w:p>
        </w:tc>
        <w:tc>
          <w:tcPr>
            <w:tcW w:w="1560" w:type="dxa"/>
          </w:tcPr>
          <w:p w:rsidR="0003480B" w:rsidRDefault="0003480B">
            <w:pPr>
              <w:spacing w:line="280" w:lineRule="exact"/>
              <w:rPr>
                <w:rFonts w:ascii="仿宋" w:eastAsia="仿宋" w:hAnsi="仿宋"/>
                <w:szCs w:val="21"/>
              </w:rPr>
            </w:pPr>
          </w:p>
        </w:tc>
        <w:tc>
          <w:tcPr>
            <w:tcW w:w="992" w:type="dxa"/>
          </w:tcPr>
          <w:p w:rsidR="0003480B" w:rsidRDefault="0003480B">
            <w:pPr>
              <w:spacing w:line="280" w:lineRule="exact"/>
              <w:rPr>
                <w:rFonts w:ascii="仿宋" w:eastAsia="仿宋" w:hAnsi="仿宋"/>
                <w:szCs w:val="21"/>
              </w:rPr>
            </w:pPr>
          </w:p>
        </w:tc>
        <w:tc>
          <w:tcPr>
            <w:tcW w:w="1559" w:type="dxa"/>
          </w:tcPr>
          <w:p w:rsidR="0003480B" w:rsidRDefault="0003480B">
            <w:pPr>
              <w:spacing w:line="280" w:lineRule="exact"/>
              <w:rPr>
                <w:rFonts w:ascii="仿宋" w:eastAsia="仿宋" w:hAnsi="仿宋"/>
                <w:szCs w:val="21"/>
              </w:rPr>
            </w:pPr>
          </w:p>
        </w:tc>
        <w:tc>
          <w:tcPr>
            <w:tcW w:w="1418" w:type="dxa"/>
          </w:tcPr>
          <w:p w:rsidR="0003480B" w:rsidRDefault="0003480B">
            <w:pPr>
              <w:spacing w:line="280" w:lineRule="exact"/>
              <w:rPr>
                <w:rFonts w:ascii="仿宋" w:eastAsia="仿宋" w:hAnsi="仿宋"/>
                <w:szCs w:val="21"/>
              </w:rPr>
            </w:pPr>
          </w:p>
        </w:tc>
        <w:tc>
          <w:tcPr>
            <w:tcW w:w="1134" w:type="dxa"/>
          </w:tcPr>
          <w:p w:rsidR="0003480B" w:rsidRDefault="0003480B">
            <w:pPr>
              <w:spacing w:line="280" w:lineRule="exact"/>
              <w:rPr>
                <w:rFonts w:ascii="仿宋" w:eastAsia="仿宋" w:hAnsi="仿宋"/>
                <w:szCs w:val="21"/>
              </w:rPr>
            </w:pPr>
          </w:p>
        </w:tc>
        <w:tc>
          <w:tcPr>
            <w:tcW w:w="2795" w:type="dxa"/>
          </w:tcPr>
          <w:p w:rsidR="0003480B" w:rsidRDefault="0003480B">
            <w:pPr>
              <w:spacing w:line="280" w:lineRule="exact"/>
              <w:rPr>
                <w:rFonts w:ascii="仿宋" w:eastAsia="仿宋" w:hAnsi="仿宋"/>
                <w:szCs w:val="21"/>
              </w:rPr>
            </w:pPr>
          </w:p>
        </w:tc>
      </w:tr>
      <w:tr w:rsidR="0003480B">
        <w:tc>
          <w:tcPr>
            <w:tcW w:w="675" w:type="dxa"/>
          </w:tcPr>
          <w:p w:rsidR="0003480B" w:rsidRDefault="0003480B">
            <w:pPr>
              <w:spacing w:line="280" w:lineRule="exact"/>
              <w:rPr>
                <w:rFonts w:ascii="仿宋" w:eastAsia="仿宋" w:hAnsi="仿宋"/>
                <w:szCs w:val="21"/>
              </w:rPr>
            </w:pPr>
          </w:p>
        </w:tc>
        <w:tc>
          <w:tcPr>
            <w:tcW w:w="1560" w:type="dxa"/>
          </w:tcPr>
          <w:p w:rsidR="0003480B" w:rsidRDefault="0003480B">
            <w:pPr>
              <w:spacing w:line="280" w:lineRule="exact"/>
              <w:rPr>
                <w:rFonts w:ascii="仿宋" w:eastAsia="仿宋" w:hAnsi="仿宋"/>
                <w:szCs w:val="21"/>
              </w:rPr>
            </w:pPr>
          </w:p>
        </w:tc>
        <w:tc>
          <w:tcPr>
            <w:tcW w:w="992" w:type="dxa"/>
          </w:tcPr>
          <w:p w:rsidR="0003480B" w:rsidRDefault="0003480B">
            <w:pPr>
              <w:spacing w:line="280" w:lineRule="exact"/>
              <w:rPr>
                <w:rFonts w:ascii="仿宋" w:eastAsia="仿宋" w:hAnsi="仿宋"/>
                <w:szCs w:val="21"/>
              </w:rPr>
            </w:pPr>
          </w:p>
        </w:tc>
        <w:tc>
          <w:tcPr>
            <w:tcW w:w="1559" w:type="dxa"/>
          </w:tcPr>
          <w:p w:rsidR="0003480B" w:rsidRDefault="0003480B">
            <w:pPr>
              <w:spacing w:line="280" w:lineRule="exact"/>
              <w:rPr>
                <w:rFonts w:ascii="仿宋" w:eastAsia="仿宋" w:hAnsi="仿宋"/>
                <w:szCs w:val="21"/>
              </w:rPr>
            </w:pPr>
          </w:p>
        </w:tc>
        <w:tc>
          <w:tcPr>
            <w:tcW w:w="1418" w:type="dxa"/>
          </w:tcPr>
          <w:p w:rsidR="0003480B" w:rsidRDefault="0003480B">
            <w:pPr>
              <w:spacing w:line="280" w:lineRule="exact"/>
              <w:rPr>
                <w:rFonts w:ascii="仿宋" w:eastAsia="仿宋" w:hAnsi="仿宋"/>
                <w:szCs w:val="21"/>
              </w:rPr>
            </w:pPr>
          </w:p>
        </w:tc>
        <w:tc>
          <w:tcPr>
            <w:tcW w:w="1134" w:type="dxa"/>
          </w:tcPr>
          <w:p w:rsidR="0003480B" w:rsidRDefault="0003480B">
            <w:pPr>
              <w:spacing w:line="280" w:lineRule="exact"/>
              <w:rPr>
                <w:rFonts w:ascii="仿宋" w:eastAsia="仿宋" w:hAnsi="仿宋"/>
                <w:szCs w:val="21"/>
              </w:rPr>
            </w:pPr>
          </w:p>
        </w:tc>
        <w:tc>
          <w:tcPr>
            <w:tcW w:w="2795" w:type="dxa"/>
          </w:tcPr>
          <w:p w:rsidR="0003480B" w:rsidRDefault="0003480B">
            <w:pPr>
              <w:spacing w:line="280" w:lineRule="exact"/>
              <w:rPr>
                <w:rFonts w:ascii="仿宋" w:eastAsia="仿宋" w:hAnsi="仿宋"/>
                <w:szCs w:val="21"/>
              </w:rPr>
            </w:pPr>
          </w:p>
        </w:tc>
      </w:tr>
    </w:tbl>
    <w:p w:rsidR="0003480B" w:rsidRDefault="0003480B">
      <w:pPr>
        <w:spacing w:line="280" w:lineRule="exact"/>
        <w:ind w:firstLineChars="200" w:firstLine="420"/>
        <w:rPr>
          <w:rFonts w:ascii="仿宋" w:eastAsia="仿宋" w:hAnsi="仿宋"/>
          <w:szCs w:val="21"/>
        </w:rPr>
      </w:pPr>
    </w:p>
    <w:p w:rsidR="0003480B" w:rsidRDefault="00A64287">
      <w:pPr>
        <w:spacing w:line="280" w:lineRule="exact"/>
        <w:ind w:firstLineChars="200" w:firstLine="420"/>
        <w:rPr>
          <w:rFonts w:ascii="仿宋" w:eastAsia="仿宋" w:hAnsi="仿宋"/>
          <w:szCs w:val="21"/>
        </w:rPr>
      </w:pPr>
      <w:r>
        <w:rPr>
          <w:rFonts w:ascii="仿宋" w:eastAsia="仿宋" w:hAnsi="仿宋" w:hint="eastAsia"/>
          <w:szCs w:val="21"/>
        </w:rPr>
        <w:t xml:space="preserve">配套试剂【单人次费用】报价清单（样表，可单列且加盖公章）                           </w:t>
      </w:r>
    </w:p>
    <w:tbl>
      <w:tblPr>
        <w:tblStyle w:val="a5"/>
        <w:tblW w:w="10031" w:type="dxa"/>
        <w:tblLook w:val="04A0" w:firstRow="1" w:lastRow="0" w:firstColumn="1" w:lastColumn="0" w:noHBand="0" w:noVBand="1"/>
      </w:tblPr>
      <w:tblGrid>
        <w:gridCol w:w="675"/>
        <w:gridCol w:w="1985"/>
        <w:gridCol w:w="2126"/>
        <w:gridCol w:w="1784"/>
        <w:gridCol w:w="1193"/>
        <w:gridCol w:w="2268"/>
      </w:tblGrid>
      <w:tr w:rsidR="0003480B">
        <w:tc>
          <w:tcPr>
            <w:tcW w:w="675" w:type="dxa"/>
          </w:tcPr>
          <w:p w:rsidR="0003480B" w:rsidRDefault="00A64287">
            <w:pPr>
              <w:spacing w:line="280" w:lineRule="exact"/>
              <w:rPr>
                <w:rFonts w:ascii="仿宋" w:eastAsia="仿宋" w:hAnsi="仿宋"/>
                <w:szCs w:val="21"/>
              </w:rPr>
            </w:pPr>
            <w:r>
              <w:rPr>
                <w:rFonts w:ascii="仿宋" w:eastAsia="仿宋" w:hAnsi="仿宋" w:hint="eastAsia"/>
                <w:szCs w:val="21"/>
              </w:rPr>
              <w:t>序号</w:t>
            </w:r>
          </w:p>
        </w:tc>
        <w:tc>
          <w:tcPr>
            <w:tcW w:w="1985" w:type="dxa"/>
          </w:tcPr>
          <w:p w:rsidR="0003480B" w:rsidRDefault="00A64287">
            <w:pPr>
              <w:spacing w:line="280" w:lineRule="exact"/>
              <w:rPr>
                <w:rFonts w:ascii="仿宋" w:eastAsia="仿宋" w:hAnsi="仿宋"/>
                <w:szCs w:val="21"/>
              </w:rPr>
            </w:pPr>
            <w:r>
              <w:rPr>
                <w:rFonts w:ascii="仿宋" w:eastAsia="仿宋" w:hAnsi="仿宋" w:hint="eastAsia"/>
                <w:szCs w:val="21"/>
              </w:rPr>
              <w:t>名称</w:t>
            </w:r>
          </w:p>
        </w:tc>
        <w:tc>
          <w:tcPr>
            <w:tcW w:w="2126" w:type="dxa"/>
          </w:tcPr>
          <w:p w:rsidR="0003480B" w:rsidRDefault="00A64287">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03480B" w:rsidRDefault="00A64287">
            <w:pPr>
              <w:spacing w:line="280" w:lineRule="exact"/>
              <w:rPr>
                <w:rFonts w:ascii="仿宋" w:eastAsia="仿宋" w:hAnsi="仿宋"/>
                <w:szCs w:val="21"/>
              </w:rPr>
            </w:pPr>
            <w:r>
              <w:rPr>
                <w:rFonts w:ascii="仿宋" w:eastAsia="仿宋" w:hAnsi="仿宋" w:hint="eastAsia"/>
                <w:szCs w:val="21"/>
              </w:rPr>
              <w:t>价格（元/个）</w:t>
            </w:r>
          </w:p>
        </w:tc>
        <w:tc>
          <w:tcPr>
            <w:tcW w:w="1193" w:type="dxa"/>
          </w:tcPr>
          <w:p w:rsidR="0003480B" w:rsidRDefault="00A64287">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03480B" w:rsidRDefault="00A64287">
            <w:pPr>
              <w:spacing w:line="280" w:lineRule="exact"/>
              <w:rPr>
                <w:rFonts w:ascii="仿宋" w:eastAsia="仿宋" w:hAnsi="仿宋"/>
                <w:szCs w:val="21"/>
              </w:rPr>
            </w:pPr>
            <w:r>
              <w:rPr>
                <w:rFonts w:ascii="仿宋" w:eastAsia="仿宋" w:hAnsi="仿宋" w:hint="eastAsia"/>
                <w:szCs w:val="21"/>
              </w:rPr>
              <w:t>备注</w:t>
            </w:r>
          </w:p>
        </w:tc>
      </w:tr>
      <w:tr w:rsidR="0003480B">
        <w:tc>
          <w:tcPr>
            <w:tcW w:w="675" w:type="dxa"/>
          </w:tcPr>
          <w:p w:rsidR="0003480B" w:rsidRDefault="0003480B">
            <w:pPr>
              <w:spacing w:line="280" w:lineRule="exact"/>
              <w:rPr>
                <w:rFonts w:ascii="仿宋" w:eastAsia="仿宋" w:hAnsi="仿宋"/>
                <w:szCs w:val="21"/>
              </w:rPr>
            </w:pPr>
          </w:p>
        </w:tc>
        <w:tc>
          <w:tcPr>
            <w:tcW w:w="1985" w:type="dxa"/>
          </w:tcPr>
          <w:p w:rsidR="0003480B" w:rsidRDefault="0003480B">
            <w:pPr>
              <w:spacing w:line="280" w:lineRule="exact"/>
              <w:rPr>
                <w:rFonts w:ascii="仿宋" w:eastAsia="仿宋" w:hAnsi="仿宋"/>
                <w:szCs w:val="21"/>
              </w:rPr>
            </w:pPr>
          </w:p>
        </w:tc>
        <w:tc>
          <w:tcPr>
            <w:tcW w:w="2126" w:type="dxa"/>
          </w:tcPr>
          <w:p w:rsidR="0003480B" w:rsidRDefault="0003480B">
            <w:pPr>
              <w:spacing w:line="280" w:lineRule="exact"/>
              <w:rPr>
                <w:rFonts w:ascii="仿宋" w:eastAsia="仿宋" w:hAnsi="仿宋"/>
                <w:szCs w:val="21"/>
              </w:rPr>
            </w:pPr>
          </w:p>
        </w:tc>
        <w:tc>
          <w:tcPr>
            <w:tcW w:w="1784" w:type="dxa"/>
          </w:tcPr>
          <w:p w:rsidR="0003480B" w:rsidRDefault="0003480B">
            <w:pPr>
              <w:spacing w:line="280" w:lineRule="exact"/>
              <w:rPr>
                <w:rFonts w:ascii="仿宋" w:eastAsia="仿宋" w:hAnsi="仿宋"/>
                <w:szCs w:val="21"/>
              </w:rPr>
            </w:pPr>
          </w:p>
        </w:tc>
        <w:tc>
          <w:tcPr>
            <w:tcW w:w="1193" w:type="dxa"/>
          </w:tcPr>
          <w:p w:rsidR="0003480B" w:rsidRDefault="0003480B">
            <w:pPr>
              <w:spacing w:line="280" w:lineRule="exact"/>
              <w:rPr>
                <w:rFonts w:ascii="仿宋" w:eastAsia="仿宋" w:hAnsi="仿宋"/>
                <w:szCs w:val="21"/>
              </w:rPr>
            </w:pPr>
          </w:p>
        </w:tc>
        <w:tc>
          <w:tcPr>
            <w:tcW w:w="2268" w:type="dxa"/>
          </w:tcPr>
          <w:p w:rsidR="0003480B" w:rsidRDefault="0003480B">
            <w:pPr>
              <w:spacing w:line="280" w:lineRule="exact"/>
              <w:rPr>
                <w:rFonts w:ascii="仿宋" w:eastAsia="仿宋" w:hAnsi="仿宋"/>
                <w:szCs w:val="21"/>
              </w:rPr>
            </w:pPr>
          </w:p>
        </w:tc>
      </w:tr>
      <w:tr w:rsidR="0003480B">
        <w:tc>
          <w:tcPr>
            <w:tcW w:w="675" w:type="dxa"/>
          </w:tcPr>
          <w:p w:rsidR="0003480B" w:rsidRDefault="0003480B">
            <w:pPr>
              <w:spacing w:line="280" w:lineRule="exact"/>
              <w:rPr>
                <w:rFonts w:ascii="仿宋" w:eastAsia="仿宋" w:hAnsi="仿宋"/>
                <w:szCs w:val="21"/>
              </w:rPr>
            </w:pPr>
          </w:p>
        </w:tc>
        <w:tc>
          <w:tcPr>
            <w:tcW w:w="1985" w:type="dxa"/>
          </w:tcPr>
          <w:p w:rsidR="0003480B" w:rsidRDefault="0003480B">
            <w:pPr>
              <w:spacing w:line="280" w:lineRule="exact"/>
              <w:rPr>
                <w:rFonts w:ascii="仿宋" w:eastAsia="仿宋" w:hAnsi="仿宋"/>
                <w:szCs w:val="21"/>
              </w:rPr>
            </w:pPr>
          </w:p>
        </w:tc>
        <w:tc>
          <w:tcPr>
            <w:tcW w:w="2126" w:type="dxa"/>
          </w:tcPr>
          <w:p w:rsidR="0003480B" w:rsidRDefault="0003480B">
            <w:pPr>
              <w:spacing w:line="280" w:lineRule="exact"/>
              <w:rPr>
                <w:rFonts w:ascii="仿宋" w:eastAsia="仿宋" w:hAnsi="仿宋"/>
                <w:szCs w:val="21"/>
              </w:rPr>
            </w:pPr>
          </w:p>
        </w:tc>
        <w:tc>
          <w:tcPr>
            <w:tcW w:w="1784" w:type="dxa"/>
          </w:tcPr>
          <w:p w:rsidR="0003480B" w:rsidRDefault="0003480B">
            <w:pPr>
              <w:spacing w:line="280" w:lineRule="exact"/>
              <w:rPr>
                <w:rFonts w:ascii="仿宋" w:eastAsia="仿宋" w:hAnsi="仿宋"/>
                <w:szCs w:val="21"/>
              </w:rPr>
            </w:pPr>
          </w:p>
        </w:tc>
        <w:tc>
          <w:tcPr>
            <w:tcW w:w="1193" w:type="dxa"/>
          </w:tcPr>
          <w:p w:rsidR="0003480B" w:rsidRDefault="0003480B">
            <w:pPr>
              <w:spacing w:line="280" w:lineRule="exact"/>
              <w:rPr>
                <w:rFonts w:ascii="仿宋" w:eastAsia="仿宋" w:hAnsi="仿宋"/>
                <w:szCs w:val="21"/>
              </w:rPr>
            </w:pPr>
          </w:p>
        </w:tc>
        <w:tc>
          <w:tcPr>
            <w:tcW w:w="2268" w:type="dxa"/>
          </w:tcPr>
          <w:p w:rsidR="0003480B" w:rsidRDefault="0003480B">
            <w:pPr>
              <w:spacing w:line="280" w:lineRule="exact"/>
              <w:rPr>
                <w:rFonts w:ascii="仿宋" w:eastAsia="仿宋" w:hAnsi="仿宋"/>
                <w:szCs w:val="21"/>
              </w:rPr>
            </w:pPr>
          </w:p>
        </w:tc>
      </w:tr>
    </w:tbl>
    <w:p w:rsidR="0003480B" w:rsidRDefault="00A64287">
      <w:pPr>
        <w:spacing w:line="280" w:lineRule="exact"/>
        <w:ind w:firstLineChars="200" w:firstLine="420"/>
        <w:rPr>
          <w:rFonts w:ascii="仿宋" w:eastAsia="仿宋" w:hAnsi="仿宋"/>
          <w:szCs w:val="21"/>
        </w:rPr>
      </w:pPr>
      <w:r>
        <w:rPr>
          <w:rFonts w:ascii="仿宋" w:eastAsia="仿宋" w:hAnsi="仿宋" w:hint="eastAsia"/>
          <w:szCs w:val="21"/>
        </w:rPr>
        <w:t xml:space="preserve"> </w:t>
      </w:r>
    </w:p>
    <w:p w:rsidR="0003480B" w:rsidRDefault="00A64287">
      <w:pPr>
        <w:spacing w:line="280" w:lineRule="exact"/>
        <w:ind w:firstLineChars="200" w:firstLine="420"/>
        <w:rPr>
          <w:rFonts w:ascii="仿宋" w:eastAsia="仿宋" w:hAnsi="仿宋"/>
          <w:szCs w:val="21"/>
        </w:rPr>
      </w:pPr>
      <w:r>
        <w:rPr>
          <w:rFonts w:ascii="仿宋" w:eastAsia="仿宋" w:hAnsi="仿宋" w:hint="eastAsia"/>
          <w:szCs w:val="21"/>
        </w:rPr>
        <w:t xml:space="preserve">须定期更换零部件报价清单（样表，可单列且加盖公章）                           </w:t>
      </w:r>
    </w:p>
    <w:tbl>
      <w:tblPr>
        <w:tblStyle w:val="a5"/>
        <w:tblW w:w="10031" w:type="dxa"/>
        <w:tblLook w:val="04A0" w:firstRow="1" w:lastRow="0" w:firstColumn="1" w:lastColumn="0" w:noHBand="0" w:noVBand="1"/>
      </w:tblPr>
      <w:tblGrid>
        <w:gridCol w:w="675"/>
        <w:gridCol w:w="1985"/>
        <w:gridCol w:w="2126"/>
        <w:gridCol w:w="1783"/>
        <w:gridCol w:w="1194"/>
        <w:gridCol w:w="2268"/>
      </w:tblGrid>
      <w:tr w:rsidR="0003480B">
        <w:tc>
          <w:tcPr>
            <w:tcW w:w="675" w:type="dxa"/>
          </w:tcPr>
          <w:p w:rsidR="0003480B" w:rsidRDefault="00A64287">
            <w:pPr>
              <w:spacing w:line="280" w:lineRule="exact"/>
              <w:rPr>
                <w:rFonts w:ascii="仿宋" w:eastAsia="仿宋" w:hAnsi="仿宋"/>
                <w:szCs w:val="21"/>
              </w:rPr>
            </w:pPr>
            <w:r>
              <w:rPr>
                <w:rFonts w:ascii="仿宋" w:eastAsia="仿宋" w:hAnsi="仿宋" w:hint="eastAsia"/>
                <w:szCs w:val="21"/>
              </w:rPr>
              <w:t>序号</w:t>
            </w:r>
          </w:p>
        </w:tc>
        <w:tc>
          <w:tcPr>
            <w:tcW w:w="1985" w:type="dxa"/>
          </w:tcPr>
          <w:p w:rsidR="0003480B" w:rsidRDefault="00A64287">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03480B" w:rsidRDefault="00A64287">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03480B" w:rsidRDefault="00A64287">
            <w:pPr>
              <w:spacing w:line="280" w:lineRule="exact"/>
              <w:rPr>
                <w:rFonts w:ascii="仿宋" w:eastAsia="仿宋" w:hAnsi="仿宋"/>
                <w:szCs w:val="21"/>
              </w:rPr>
            </w:pPr>
            <w:r>
              <w:rPr>
                <w:rFonts w:ascii="仿宋" w:eastAsia="仿宋" w:hAnsi="仿宋" w:hint="eastAsia"/>
                <w:szCs w:val="21"/>
              </w:rPr>
              <w:t>价格（元/个）</w:t>
            </w:r>
          </w:p>
        </w:tc>
        <w:tc>
          <w:tcPr>
            <w:tcW w:w="1194" w:type="dxa"/>
          </w:tcPr>
          <w:p w:rsidR="0003480B" w:rsidRDefault="00A64287">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03480B" w:rsidRDefault="00A64287">
            <w:pPr>
              <w:spacing w:line="280" w:lineRule="exact"/>
              <w:rPr>
                <w:rFonts w:ascii="仿宋" w:eastAsia="仿宋" w:hAnsi="仿宋"/>
                <w:szCs w:val="21"/>
              </w:rPr>
            </w:pPr>
            <w:r>
              <w:rPr>
                <w:rFonts w:ascii="仿宋" w:eastAsia="仿宋" w:hAnsi="仿宋" w:hint="eastAsia"/>
                <w:szCs w:val="21"/>
              </w:rPr>
              <w:t>备注</w:t>
            </w:r>
          </w:p>
        </w:tc>
      </w:tr>
      <w:tr w:rsidR="0003480B">
        <w:tc>
          <w:tcPr>
            <w:tcW w:w="675" w:type="dxa"/>
          </w:tcPr>
          <w:p w:rsidR="0003480B" w:rsidRDefault="0003480B">
            <w:pPr>
              <w:spacing w:line="280" w:lineRule="exact"/>
              <w:rPr>
                <w:rFonts w:ascii="仿宋" w:eastAsia="仿宋" w:hAnsi="仿宋"/>
                <w:szCs w:val="21"/>
              </w:rPr>
            </w:pPr>
          </w:p>
        </w:tc>
        <w:tc>
          <w:tcPr>
            <w:tcW w:w="1985" w:type="dxa"/>
          </w:tcPr>
          <w:p w:rsidR="0003480B" w:rsidRDefault="0003480B">
            <w:pPr>
              <w:spacing w:line="280" w:lineRule="exact"/>
              <w:rPr>
                <w:rFonts w:ascii="仿宋" w:eastAsia="仿宋" w:hAnsi="仿宋"/>
                <w:szCs w:val="21"/>
              </w:rPr>
            </w:pPr>
          </w:p>
        </w:tc>
        <w:tc>
          <w:tcPr>
            <w:tcW w:w="2126" w:type="dxa"/>
          </w:tcPr>
          <w:p w:rsidR="0003480B" w:rsidRDefault="0003480B">
            <w:pPr>
              <w:spacing w:line="280" w:lineRule="exact"/>
              <w:rPr>
                <w:rFonts w:ascii="仿宋" w:eastAsia="仿宋" w:hAnsi="仿宋"/>
                <w:szCs w:val="21"/>
              </w:rPr>
            </w:pPr>
          </w:p>
        </w:tc>
        <w:tc>
          <w:tcPr>
            <w:tcW w:w="1783" w:type="dxa"/>
          </w:tcPr>
          <w:p w:rsidR="0003480B" w:rsidRDefault="0003480B">
            <w:pPr>
              <w:spacing w:line="280" w:lineRule="exact"/>
              <w:rPr>
                <w:rFonts w:ascii="仿宋" w:eastAsia="仿宋" w:hAnsi="仿宋"/>
                <w:szCs w:val="21"/>
              </w:rPr>
            </w:pPr>
          </w:p>
        </w:tc>
        <w:tc>
          <w:tcPr>
            <w:tcW w:w="1194" w:type="dxa"/>
          </w:tcPr>
          <w:p w:rsidR="0003480B" w:rsidRDefault="0003480B">
            <w:pPr>
              <w:spacing w:line="280" w:lineRule="exact"/>
              <w:rPr>
                <w:rFonts w:ascii="仿宋" w:eastAsia="仿宋" w:hAnsi="仿宋"/>
                <w:szCs w:val="21"/>
              </w:rPr>
            </w:pPr>
          </w:p>
        </w:tc>
        <w:tc>
          <w:tcPr>
            <w:tcW w:w="2268" w:type="dxa"/>
          </w:tcPr>
          <w:p w:rsidR="0003480B" w:rsidRDefault="0003480B">
            <w:pPr>
              <w:spacing w:line="280" w:lineRule="exact"/>
              <w:rPr>
                <w:rFonts w:ascii="仿宋" w:eastAsia="仿宋" w:hAnsi="仿宋"/>
                <w:szCs w:val="21"/>
              </w:rPr>
            </w:pPr>
          </w:p>
        </w:tc>
      </w:tr>
      <w:tr w:rsidR="0003480B">
        <w:tc>
          <w:tcPr>
            <w:tcW w:w="675" w:type="dxa"/>
          </w:tcPr>
          <w:p w:rsidR="0003480B" w:rsidRDefault="0003480B">
            <w:pPr>
              <w:spacing w:line="280" w:lineRule="exact"/>
              <w:rPr>
                <w:rFonts w:ascii="仿宋" w:eastAsia="仿宋" w:hAnsi="仿宋"/>
                <w:szCs w:val="21"/>
              </w:rPr>
            </w:pPr>
          </w:p>
        </w:tc>
        <w:tc>
          <w:tcPr>
            <w:tcW w:w="1985" w:type="dxa"/>
          </w:tcPr>
          <w:p w:rsidR="0003480B" w:rsidRDefault="0003480B">
            <w:pPr>
              <w:spacing w:line="280" w:lineRule="exact"/>
              <w:rPr>
                <w:rFonts w:ascii="仿宋" w:eastAsia="仿宋" w:hAnsi="仿宋"/>
                <w:szCs w:val="21"/>
              </w:rPr>
            </w:pPr>
          </w:p>
        </w:tc>
        <w:tc>
          <w:tcPr>
            <w:tcW w:w="2126" w:type="dxa"/>
          </w:tcPr>
          <w:p w:rsidR="0003480B" w:rsidRDefault="0003480B">
            <w:pPr>
              <w:spacing w:line="280" w:lineRule="exact"/>
              <w:rPr>
                <w:rFonts w:ascii="仿宋" w:eastAsia="仿宋" w:hAnsi="仿宋"/>
                <w:szCs w:val="21"/>
              </w:rPr>
            </w:pPr>
          </w:p>
        </w:tc>
        <w:tc>
          <w:tcPr>
            <w:tcW w:w="1783" w:type="dxa"/>
          </w:tcPr>
          <w:p w:rsidR="0003480B" w:rsidRDefault="0003480B">
            <w:pPr>
              <w:spacing w:line="280" w:lineRule="exact"/>
              <w:rPr>
                <w:rFonts w:ascii="仿宋" w:eastAsia="仿宋" w:hAnsi="仿宋"/>
                <w:szCs w:val="21"/>
              </w:rPr>
            </w:pPr>
          </w:p>
        </w:tc>
        <w:tc>
          <w:tcPr>
            <w:tcW w:w="1194" w:type="dxa"/>
          </w:tcPr>
          <w:p w:rsidR="0003480B" w:rsidRDefault="0003480B">
            <w:pPr>
              <w:spacing w:line="280" w:lineRule="exact"/>
              <w:rPr>
                <w:rFonts w:ascii="仿宋" w:eastAsia="仿宋" w:hAnsi="仿宋"/>
                <w:szCs w:val="21"/>
              </w:rPr>
            </w:pPr>
          </w:p>
        </w:tc>
        <w:tc>
          <w:tcPr>
            <w:tcW w:w="2268" w:type="dxa"/>
          </w:tcPr>
          <w:p w:rsidR="0003480B" w:rsidRDefault="0003480B">
            <w:pPr>
              <w:spacing w:line="280" w:lineRule="exact"/>
              <w:rPr>
                <w:rFonts w:ascii="仿宋" w:eastAsia="仿宋" w:hAnsi="仿宋"/>
                <w:szCs w:val="21"/>
              </w:rPr>
            </w:pPr>
          </w:p>
        </w:tc>
      </w:tr>
    </w:tbl>
    <w:p w:rsidR="0003480B" w:rsidRDefault="0003480B">
      <w:pPr>
        <w:spacing w:line="280" w:lineRule="exact"/>
        <w:ind w:firstLineChars="200" w:firstLine="420"/>
        <w:rPr>
          <w:rFonts w:ascii="仿宋" w:eastAsia="仿宋" w:hAnsi="仿宋"/>
          <w:szCs w:val="21"/>
        </w:rPr>
      </w:pPr>
    </w:p>
    <w:p w:rsidR="0003480B" w:rsidRDefault="0003480B">
      <w:pPr>
        <w:spacing w:line="280" w:lineRule="exact"/>
        <w:ind w:firstLineChars="200" w:firstLine="420"/>
        <w:rPr>
          <w:rFonts w:ascii="仿宋" w:eastAsia="仿宋" w:hAnsi="仿宋"/>
          <w:szCs w:val="21"/>
        </w:rPr>
      </w:pPr>
    </w:p>
    <w:sectPr w:rsidR="0003480B">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F77" w:rsidRDefault="00AC4F77">
      <w:r>
        <w:separator/>
      </w:r>
    </w:p>
  </w:endnote>
  <w:endnote w:type="continuationSeparator" w:id="0">
    <w:p w:rsidR="00AC4F77" w:rsidRDefault="00AC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03480B" w:rsidRDefault="00A64287">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BD1B8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1B80">
              <w:rPr>
                <w:b/>
                <w:noProof/>
              </w:rPr>
              <w:t>2</w:t>
            </w:r>
            <w:r>
              <w:rPr>
                <w:b/>
                <w:sz w:val="24"/>
                <w:szCs w:val="24"/>
              </w:rPr>
              <w:fldChar w:fldCharType="end"/>
            </w:r>
          </w:p>
        </w:sdtContent>
      </w:sdt>
    </w:sdtContent>
  </w:sdt>
  <w:p w:rsidR="0003480B" w:rsidRDefault="0003480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F77" w:rsidRDefault="00AC4F77">
      <w:r>
        <w:separator/>
      </w:r>
    </w:p>
  </w:footnote>
  <w:footnote w:type="continuationSeparator" w:id="0">
    <w:p w:rsidR="00AC4F77" w:rsidRDefault="00AC4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48AED8"/>
    <w:multiLevelType w:val="singleLevel"/>
    <w:tmpl w:val="E348AED8"/>
    <w:lvl w:ilvl="0">
      <w:start w:val="2"/>
      <w:numFmt w:val="decimal"/>
      <w:lvlText w:val="%1."/>
      <w:lvlJc w:val="left"/>
      <w:pPr>
        <w:tabs>
          <w:tab w:val="left" w:pos="312"/>
        </w:tabs>
      </w:p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CA3202A"/>
    <w:multiLevelType w:val="singleLevel"/>
    <w:tmpl w:val="3CA3202A"/>
    <w:lvl w:ilvl="0">
      <w:start w:val="1"/>
      <w:numFmt w:val="decimal"/>
      <w:suff w:val="nothing"/>
      <w:lvlText w:val="%1、"/>
      <w:lvlJc w:val="left"/>
      <w:rPr>
        <w:rFonts w:hint="default"/>
        <w:b w:val="0"/>
        <w:bCs w:val="0"/>
      </w:rPr>
    </w:lvl>
  </w:abstractNum>
  <w:abstractNum w:abstractNumId="3">
    <w:nsid w:val="469EE8BB"/>
    <w:multiLevelType w:val="singleLevel"/>
    <w:tmpl w:val="469EE8BB"/>
    <w:lvl w:ilvl="0">
      <w:start w:val="1"/>
      <w:numFmt w:val="decimal"/>
      <w:lvlText w:val="%1."/>
      <w:lvlJc w:val="left"/>
      <w:pPr>
        <w:ind w:left="425" w:hanging="425"/>
      </w:pPr>
      <w:rPr>
        <w:rFonts w:hint="default"/>
      </w:rPr>
    </w:lvl>
  </w:abstractNum>
  <w:abstractNum w:abstractNumId="4">
    <w:nsid w:val="7D956B32"/>
    <w:multiLevelType w:val="singleLevel"/>
    <w:tmpl w:val="7D956B32"/>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B4"/>
    <w:rsid w:val="00001318"/>
    <w:rsid w:val="00002283"/>
    <w:rsid w:val="00002704"/>
    <w:rsid w:val="000050A7"/>
    <w:rsid w:val="000053EE"/>
    <w:rsid w:val="00010931"/>
    <w:rsid w:val="00011CA3"/>
    <w:rsid w:val="0002349D"/>
    <w:rsid w:val="00023E48"/>
    <w:rsid w:val="00034183"/>
    <w:rsid w:val="0003480B"/>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72E"/>
    <w:rsid w:val="00890A8A"/>
    <w:rsid w:val="0089397B"/>
    <w:rsid w:val="0089602A"/>
    <w:rsid w:val="008A6728"/>
    <w:rsid w:val="008B0511"/>
    <w:rsid w:val="008B5062"/>
    <w:rsid w:val="008B6746"/>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69B9"/>
    <w:rsid w:val="00A11A36"/>
    <w:rsid w:val="00A14A81"/>
    <w:rsid w:val="00A46863"/>
    <w:rsid w:val="00A528E9"/>
    <w:rsid w:val="00A64287"/>
    <w:rsid w:val="00A669AF"/>
    <w:rsid w:val="00A7303F"/>
    <w:rsid w:val="00A83FE7"/>
    <w:rsid w:val="00A9205C"/>
    <w:rsid w:val="00A92F2C"/>
    <w:rsid w:val="00A9357B"/>
    <w:rsid w:val="00A9700C"/>
    <w:rsid w:val="00AA0C5C"/>
    <w:rsid w:val="00AB75E3"/>
    <w:rsid w:val="00AC18B2"/>
    <w:rsid w:val="00AC4F77"/>
    <w:rsid w:val="00AD049E"/>
    <w:rsid w:val="00AD5396"/>
    <w:rsid w:val="00AD7B1E"/>
    <w:rsid w:val="00AE264C"/>
    <w:rsid w:val="00AE65B2"/>
    <w:rsid w:val="00AF1D3E"/>
    <w:rsid w:val="00B005F8"/>
    <w:rsid w:val="00B10828"/>
    <w:rsid w:val="00B110AE"/>
    <w:rsid w:val="00B117A1"/>
    <w:rsid w:val="00B171AD"/>
    <w:rsid w:val="00B21A8C"/>
    <w:rsid w:val="00B2560D"/>
    <w:rsid w:val="00B25C0A"/>
    <w:rsid w:val="00B41383"/>
    <w:rsid w:val="00B42CFE"/>
    <w:rsid w:val="00B43273"/>
    <w:rsid w:val="00B43844"/>
    <w:rsid w:val="00B4445A"/>
    <w:rsid w:val="00B4619C"/>
    <w:rsid w:val="00B51795"/>
    <w:rsid w:val="00B51940"/>
    <w:rsid w:val="00B52B62"/>
    <w:rsid w:val="00B56A04"/>
    <w:rsid w:val="00B62D53"/>
    <w:rsid w:val="00B72BFD"/>
    <w:rsid w:val="00B73A12"/>
    <w:rsid w:val="00B90A21"/>
    <w:rsid w:val="00BA2652"/>
    <w:rsid w:val="00BA62D7"/>
    <w:rsid w:val="00BB301F"/>
    <w:rsid w:val="00BB7B4B"/>
    <w:rsid w:val="00BC7640"/>
    <w:rsid w:val="00BD03D9"/>
    <w:rsid w:val="00BD1B80"/>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7B5F"/>
    <w:rsid w:val="00D226CF"/>
    <w:rsid w:val="00D27C90"/>
    <w:rsid w:val="00D303AF"/>
    <w:rsid w:val="00D43C95"/>
    <w:rsid w:val="00D51D39"/>
    <w:rsid w:val="00D535B5"/>
    <w:rsid w:val="00D53FD5"/>
    <w:rsid w:val="00D668DA"/>
    <w:rsid w:val="00D7257F"/>
    <w:rsid w:val="00D80CC2"/>
    <w:rsid w:val="00D84D78"/>
    <w:rsid w:val="00DA4FE2"/>
    <w:rsid w:val="00DB09D0"/>
    <w:rsid w:val="00DB3885"/>
    <w:rsid w:val="00DB4D34"/>
    <w:rsid w:val="00DD33CC"/>
    <w:rsid w:val="00DD5B7C"/>
    <w:rsid w:val="00DD79ED"/>
    <w:rsid w:val="00DD7BBA"/>
    <w:rsid w:val="00DF3FEC"/>
    <w:rsid w:val="00DF5019"/>
    <w:rsid w:val="00E0491B"/>
    <w:rsid w:val="00E04C87"/>
    <w:rsid w:val="00E17D14"/>
    <w:rsid w:val="00E20590"/>
    <w:rsid w:val="00E2199E"/>
    <w:rsid w:val="00E22721"/>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1969"/>
    <w:rsid w:val="00FF5778"/>
    <w:rsid w:val="12460103"/>
    <w:rsid w:val="28D365D9"/>
    <w:rsid w:val="4343451F"/>
    <w:rsid w:val="54EB0F6E"/>
    <w:rsid w:val="6AE8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AEB935-FC34-47BE-BBFC-1EE15452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75739469@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Office Word</Application>
  <DocSecurity>0</DocSecurity>
  <Lines>10</Lines>
  <Paragraphs>2</Paragraphs>
  <ScaleCrop>false</ScaleCrop>
  <Company>Microsoft</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2022-03-22T01:17:00Z</dcterms:created>
  <dcterms:modified xsi:type="dcterms:W3CDTF">2022-03-22T01:17:00Z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