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sz w:val="28"/>
          <w:u w:val="single"/>
        </w:rPr>
        <w:t>阴茎硬度测量仪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1"/>
        <w:gridCol w:w="1124"/>
        <w:gridCol w:w="2016"/>
        <w:gridCol w:w="1056"/>
        <w:gridCol w:w="804"/>
        <w:gridCol w:w="2015"/>
        <w:gridCol w:w="19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67"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04"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1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5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2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1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5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04" w:type="dxa"/>
            <w:vMerge w:val="continue"/>
          </w:tcPr>
          <w:p>
            <w:pPr>
              <w:spacing w:line="320" w:lineRule="exact"/>
              <w:rPr>
                <w:rFonts w:ascii="仿宋" w:hAnsi="仿宋" w:eastAsia="仿宋"/>
                <w:b w:val="0"/>
                <w:bCs/>
                <w:szCs w:val="21"/>
              </w:rPr>
            </w:pPr>
          </w:p>
        </w:tc>
        <w:tc>
          <w:tcPr>
            <w:tcW w:w="2015" w:type="dxa"/>
            <w:vMerge w:val="continue"/>
          </w:tcPr>
          <w:p>
            <w:pPr>
              <w:spacing w:line="320" w:lineRule="exact"/>
              <w:rPr>
                <w:rFonts w:ascii="仿宋" w:hAnsi="仿宋" w:eastAsia="仿宋"/>
                <w:b w:val="0"/>
                <w:bCs/>
                <w:szCs w:val="21"/>
              </w:rPr>
            </w:pPr>
          </w:p>
        </w:tc>
        <w:tc>
          <w:tcPr>
            <w:tcW w:w="195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hint="default" w:ascii="仿宋" w:hAnsi="仿宋" w:eastAsia="仿宋"/>
                <w:b w:val="0"/>
                <w:bCs/>
                <w:szCs w:val="21"/>
                <w:lang w:val="en-US" w:eastAsia="zh-CN"/>
              </w:rPr>
            </w:pPr>
            <w:r>
              <w:rPr>
                <w:rFonts w:hint="eastAsia" w:ascii="仿宋_GB2312" w:hAnsi="宋体" w:eastAsia="仿宋_GB2312" w:cs="宋体"/>
                <w:kern w:val="0"/>
                <w:sz w:val="24"/>
              </w:rPr>
              <w:t>阴茎夜间勃起</w:t>
            </w:r>
            <w:r>
              <w:rPr>
                <w:rFonts w:hint="eastAsia" w:ascii="仿宋_GB2312" w:hAnsi="宋体" w:eastAsia="仿宋_GB2312" w:cs="宋体"/>
                <w:kern w:val="0"/>
                <w:sz w:val="24"/>
              </w:rPr>
              <w:t>模块</w:t>
            </w:r>
          </w:p>
        </w:tc>
        <w:tc>
          <w:tcPr>
            <w:tcW w:w="2016" w:type="dxa"/>
          </w:tcPr>
          <w:p>
            <w:pPr>
              <w:spacing w:line="320" w:lineRule="exact"/>
              <w:rPr>
                <w:rFonts w:ascii="仿宋" w:hAnsi="仿宋" w:eastAsia="仿宋"/>
                <w:b w:val="0"/>
                <w:bCs/>
                <w:szCs w:val="21"/>
              </w:rPr>
            </w:pPr>
            <w:r>
              <w:rPr>
                <w:rFonts w:hint="eastAsia" w:ascii="仿宋_GB2312" w:hAnsi="宋体" w:eastAsia="仿宋_GB2312" w:cs="宋体"/>
                <w:kern w:val="0"/>
                <w:sz w:val="24"/>
              </w:rPr>
              <w:t>通过夜间记录仪记录勃起情况，检测报告</w:t>
            </w:r>
            <w:r>
              <w:rPr>
                <w:rFonts w:hint="eastAsia" w:ascii="仿宋_GB2312" w:hAnsi="宋体" w:eastAsia="仿宋_GB2312" w:cs="宋体"/>
                <w:kern w:val="0"/>
                <w:sz w:val="24"/>
                <w:lang w:eastAsia="zh-CN"/>
              </w:rPr>
              <w:t>可显示并打印阴茎</w:t>
            </w:r>
            <w:r>
              <w:rPr>
                <w:rFonts w:hint="eastAsia" w:ascii="仿宋_GB2312" w:hAnsi="宋体" w:eastAsia="仿宋_GB2312" w:cs="宋体"/>
                <w:kern w:val="0"/>
                <w:sz w:val="24"/>
              </w:rPr>
              <w:t>长度、周径、血容量及时间</w:t>
            </w:r>
            <w:r>
              <w:rPr>
                <w:rFonts w:hint="eastAsia" w:ascii="仿宋_GB2312" w:hAnsi="宋体" w:eastAsia="仿宋_GB2312" w:cs="宋体"/>
                <w:kern w:val="0"/>
                <w:sz w:val="24"/>
                <w:lang w:eastAsia="zh-CN"/>
              </w:rPr>
              <w:t>等数据</w:t>
            </w:r>
            <w:r>
              <w:rPr>
                <w:rFonts w:hint="eastAsia" w:ascii="仿宋_GB2312" w:hAnsi="宋体" w:eastAsia="仿宋_GB2312" w:cs="宋体"/>
                <w:kern w:val="0"/>
                <w:sz w:val="24"/>
              </w:rPr>
              <w:t>。</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spacing w:line="320" w:lineRule="exact"/>
              <w:rPr>
                <w:rFonts w:ascii="仿宋" w:hAnsi="仿宋" w:eastAsia="仿宋"/>
                <w:b w:val="0"/>
                <w:bCs/>
                <w:szCs w:val="21"/>
              </w:rPr>
            </w:pPr>
            <w:r>
              <w:rPr>
                <w:rFonts w:hint="eastAsia" w:ascii="仿宋_GB2312" w:hAnsi="宋体" w:eastAsia="仿宋_GB2312" w:cs="宋体"/>
                <w:kern w:val="0"/>
                <w:sz w:val="24"/>
              </w:rPr>
              <w:t>连续记录时间不小于</w:t>
            </w:r>
            <w:r>
              <w:rPr>
                <w:rFonts w:hint="eastAsia" w:ascii="仿宋_GB2312" w:hAnsi="宋体" w:eastAsia="仿宋_GB2312" w:cs="宋体"/>
                <w:kern w:val="0"/>
                <w:sz w:val="24"/>
                <w:lang w:val="en-US" w:eastAsia="zh-CN"/>
              </w:rPr>
              <w:t>12</w:t>
            </w:r>
            <w:r>
              <w:rPr>
                <w:rFonts w:hint="eastAsia" w:ascii="仿宋_GB2312" w:hAnsi="宋体" w:eastAsia="仿宋_GB2312" w:cs="宋体"/>
                <w:kern w:val="0"/>
                <w:sz w:val="24"/>
              </w:rPr>
              <w:t>小时；</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spacing w:line="320" w:lineRule="exact"/>
              <w:rPr>
                <w:rFonts w:ascii="仿宋" w:hAnsi="仿宋" w:eastAsia="仿宋"/>
                <w:b w:val="0"/>
                <w:bCs/>
                <w:szCs w:val="21"/>
              </w:rPr>
            </w:pPr>
            <w:r>
              <w:rPr>
                <w:rFonts w:hint="eastAsia" w:ascii="仿宋_GB2312" w:hAnsi="宋体" w:eastAsia="仿宋_GB2312" w:cs="宋体"/>
                <w:kern w:val="0"/>
                <w:sz w:val="24"/>
              </w:rPr>
              <w:t>可记录男性在睡眠过程中勃起变化的</w:t>
            </w:r>
            <w:r>
              <w:rPr>
                <w:rFonts w:hint="eastAsia" w:ascii="仿宋_GB2312" w:hAnsi="宋体" w:eastAsia="仿宋_GB2312" w:cs="宋体"/>
                <w:kern w:val="0"/>
                <w:sz w:val="24"/>
                <w:lang w:eastAsia="zh-CN"/>
              </w:rPr>
              <w:t>次数</w:t>
            </w:r>
            <w:r>
              <w:rPr>
                <w:rFonts w:hint="eastAsia" w:ascii="仿宋_GB2312" w:hAnsi="宋体" w:eastAsia="仿宋_GB2312" w:cs="宋体"/>
                <w:kern w:val="0"/>
                <w:sz w:val="24"/>
              </w:rPr>
              <w:t>。</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spacing w:line="320" w:lineRule="exact"/>
              <w:rPr>
                <w:rFonts w:ascii="仿宋" w:hAnsi="仿宋" w:eastAsia="仿宋"/>
                <w:b w:val="0"/>
                <w:bCs/>
                <w:szCs w:val="21"/>
              </w:rPr>
            </w:pPr>
            <w:r>
              <w:rPr>
                <w:rFonts w:hint="eastAsia" w:ascii="仿宋_GB2312" w:hAnsi="宋体" w:eastAsia="仿宋_GB2312" w:cs="宋体"/>
                <w:kern w:val="0"/>
                <w:sz w:val="24"/>
                <w:lang w:eastAsia="zh-CN"/>
              </w:rPr>
              <w:t>阴茎勃起长度检测范围</w:t>
            </w:r>
            <w:r>
              <w:rPr>
                <w:rFonts w:hint="eastAsia" w:ascii="仿宋_GB2312" w:hAnsi="宋体" w:eastAsia="仿宋_GB2312" w:cs="宋体"/>
                <w:kern w:val="0"/>
                <w:sz w:val="24"/>
                <w:lang w:val="en-US" w:eastAsia="zh-CN"/>
              </w:rPr>
              <w:t>0--200mm</w:t>
            </w:r>
            <w:r>
              <w:rPr>
                <w:rFonts w:hint="eastAsia" w:ascii="仿宋_GB2312" w:hAnsi="宋体" w:eastAsia="仿宋_GB2312" w:cs="宋体"/>
                <w:kern w:val="0"/>
                <w:sz w:val="24"/>
              </w:rPr>
              <w:t>；（附注册证等证明材料）</w:t>
            </w:r>
          </w:p>
        </w:tc>
        <w:tc>
          <w:tcPr>
            <w:tcW w:w="1056" w:type="dxa"/>
          </w:tcPr>
          <w:p>
            <w:pPr>
              <w:spacing w:line="320" w:lineRule="exact"/>
              <w:rPr>
                <w:rFonts w:ascii="仿宋" w:hAnsi="仿宋" w:eastAsia="仿宋"/>
                <w:b w:val="0"/>
                <w:bCs/>
                <w:szCs w:val="21"/>
              </w:rPr>
            </w:pPr>
            <w:r>
              <w:rPr>
                <w:rFonts w:hint="eastAsia" w:ascii="仿宋_GB2312" w:hAnsi="宋体" w:eastAsia="仿宋_GB2312" w:cs="宋体"/>
                <w:kern w:val="0"/>
                <w:sz w:val="24"/>
              </w:rPr>
              <w:t>★</w:t>
            </w: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spacing w:line="320" w:lineRule="exact"/>
              <w:rPr>
                <w:rFonts w:ascii="仿宋" w:hAnsi="仿宋" w:eastAsia="仿宋"/>
                <w:b w:val="0"/>
                <w:bCs/>
                <w:szCs w:val="21"/>
              </w:rPr>
            </w:pPr>
            <w:r>
              <w:rPr>
                <w:rFonts w:hint="eastAsia" w:ascii="仿宋_GB2312" w:hAnsi="宋体" w:eastAsia="仿宋_GB2312" w:cs="宋体"/>
                <w:kern w:val="0"/>
                <w:sz w:val="24"/>
              </w:rPr>
              <w:t>检测报告可反应阴茎</w:t>
            </w:r>
            <w:r>
              <w:rPr>
                <w:rFonts w:hint="eastAsia" w:ascii="仿宋_GB2312" w:hAnsi="宋体" w:eastAsia="仿宋_GB2312" w:cs="宋体"/>
                <w:kern w:val="0"/>
                <w:sz w:val="24"/>
                <w:lang w:eastAsia="zh-CN"/>
              </w:rPr>
              <w:t>勃起血容量</w:t>
            </w:r>
            <w:r>
              <w:rPr>
                <w:rFonts w:hint="eastAsia" w:ascii="仿宋_GB2312" w:hAnsi="宋体" w:eastAsia="仿宋_GB2312" w:cs="宋体"/>
                <w:kern w:val="0"/>
                <w:sz w:val="24"/>
              </w:rPr>
              <w:t xml:space="preserve">值 </w:t>
            </w:r>
            <w:r>
              <w:rPr>
                <w:rFonts w:ascii="仿宋_GB2312" w:hAnsi="宋体" w:eastAsia="仿宋_GB2312" w:cs="宋体"/>
                <w:kern w:val="0"/>
                <w:sz w:val="24"/>
              </w:rPr>
              <w:t>0</w:t>
            </w:r>
            <w:r>
              <w:rPr>
                <w:rFonts w:hint="eastAsia" w:ascii="仿宋_GB2312" w:hAnsi="宋体" w:eastAsia="仿宋_GB2312" w:cs="宋体"/>
                <w:kern w:val="0"/>
                <w:sz w:val="24"/>
                <w:lang w:val="en-US" w:eastAsia="zh-CN"/>
              </w:rPr>
              <w:t>ml-</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200ml</w:t>
            </w:r>
            <w:r>
              <w:rPr>
                <w:rFonts w:hint="eastAsia" w:ascii="仿宋_GB2312" w:hAnsi="宋体" w:eastAsia="仿宋_GB2312" w:cs="宋体"/>
                <w:kern w:val="0"/>
                <w:sz w:val="24"/>
              </w:rPr>
              <w:t>（提供检测报告，说明书等证明材料）</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r>
              <w:rPr>
                <w:rFonts w:hint="eastAsia" w:ascii="仿宋_GB2312" w:hAnsi="宋体" w:eastAsia="仿宋_GB2312" w:cs="宋体"/>
                <w:kern w:val="0"/>
                <w:sz w:val="24"/>
              </w:rPr>
              <w:t>阴茎</w:t>
            </w:r>
            <w:r>
              <w:rPr>
                <w:rFonts w:hint="eastAsia" w:ascii="仿宋_GB2312" w:hAnsi="宋体" w:eastAsia="仿宋_GB2312" w:cs="宋体"/>
                <w:kern w:val="0"/>
                <w:sz w:val="24"/>
                <w:lang w:eastAsia="zh-CN"/>
              </w:rPr>
              <w:t>勃起硬度</w:t>
            </w:r>
            <w:r>
              <w:rPr>
                <w:rFonts w:hint="eastAsia" w:ascii="仿宋_GB2312" w:hAnsi="宋体" w:eastAsia="仿宋_GB2312" w:cs="宋体"/>
                <w:kern w:val="0"/>
                <w:sz w:val="24"/>
              </w:rPr>
              <w:t>模块</w:t>
            </w:r>
          </w:p>
        </w:tc>
        <w:tc>
          <w:tcPr>
            <w:tcW w:w="2016" w:type="dxa"/>
          </w:tcPr>
          <w:p>
            <w:pPr>
              <w:pStyle w:val="11"/>
              <w:numPr>
                <w:numId w:val="0"/>
              </w:numPr>
              <w:spacing w:line="320" w:lineRule="exact"/>
              <w:ind w:leftChars="0"/>
              <w:rPr>
                <w:rFonts w:ascii="仿宋" w:hAnsi="仿宋" w:eastAsia="仿宋"/>
                <w:b w:val="0"/>
                <w:bCs/>
                <w:szCs w:val="21"/>
              </w:rPr>
            </w:pPr>
            <w:r>
              <w:rPr>
                <w:rFonts w:hint="eastAsia" w:ascii="仿宋_GB2312" w:hAnsi="宋体" w:eastAsia="仿宋_GB2312" w:cs="宋体"/>
                <w:kern w:val="0"/>
                <w:sz w:val="24"/>
              </w:rPr>
              <w:t>通过对阴茎</w:t>
            </w:r>
            <w:r>
              <w:rPr>
                <w:rFonts w:hint="eastAsia" w:ascii="仿宋_GB2312" w:hAnsi="宋体" w:eastAsia="仿宋_GB2312" w:cs="宋体"/>
                <w:kern w:val="0"/>
                <w:sz w:val="24"/>
                <w:lang w:eastAsia="zh-CN"/>
              </w:rPr>
              <w:t>勃起的轴向坚硬度、阴茎勃起的周径、</w:t>
            </w:r>
            <w:r>
              <w:rPr>
                <w:rFonts w:hint="eastAsia" w:ascii="仿宋_GB2312" w:hAnsi="宋体" w:eastAsia="仿宋_GB2312" w:cs="宋体"/>
                <w:kern w:val="0"/>
                <w:sz w:val="24"/>
              </w:rPr>
              <w:t>龟头</w:t>
            </w:r>
            <w:r>
              <w:rPr>
                <w:rFonts w:hint="eastAsia" w:ascii="仿宋_GB2312" w:hAnsi="宋体" w:eastAsia="仿宋_GB2312" w:cs="宋体"/>
                <w:kern w:val="0"/>
                <w:sz w:val="24"/>
                <w:lang w:eastAsia="zh-CN"/>
              </w:rPr>
              <w:t>温度等多项量化指标，客观评估阴茎勃起质量。</w:t>
            </w:r>
            <w:r>
              <w:rPr>
                <w:rFonts w:hint="eastAsia"/>
                <w:sz w:val="28"/>
              </w:rPr>
              <w:t xml:space="preserve"> </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pStyle w:val="11"/>
              <w:numPr>
                <w:numId w:val="0"/>
              </w:numPr>
              <w:spacing w:line="320" w:lineRule="exact"/>
              <w:ind w:leftChars="0"/>
              <w:rPr>
                <w:rFonts w:ascii="仿宋" w:hAnsi="仿宋" w:eastAsia="仿宋"/>
                <w:b w:val="0"/>
                <w:bCs/>
                <w:szCs w:val="21"/>
              </w:rPr>
            </w:pPr>
            <w:r>
              <w:rPr>
                <w:rFonts w:hint="eastAsia" w:ascii="仿宋_GB2312" w:hAnsi="宋体" w:eastAsia="仿宋_GB2312" w:cs="宋体"/>
                <w:kern w:val="0"/>
                <w:sz w:val="24"/>
                <w:lang w:eastAsia="zh-CN"/>
              </w:rPr>
              <w:t>可测量多组轴向硬度数据后计算出平均轴向硬度数据用于阴茎硬度勃起的评价。</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pStyle w:val="11"/>
              <w:numPr>
                <w:numId w:val="0"/>
              </w:numPr>
              <w:spacing w:line="320" w:lineRule="exact"/>
              <w:ind w:leftChars="0"/>
              <w:rPr>
                <w:rFonts w:ascii="仿宋" w:hAnsi="仿宋" w:eastAsia="仿宋"/>
                <w:b w:val="0"/>
                <w:bCs/>
                <w:szCs w:val="21"/>
              </w:rPr>
            </w:pPr>
            <w:r>
              <w:rPr>
                <w:rFonts w:hint="eastAsia" w:ascii="仿宋_GB2312" w:hAnsi="宋体" w:eastAsia="仿宋_GB2312" w:cs="宋体"/>
                <w:kern w:val="0"/>
                <w:sz w:val="24"/>
                <w:lang w:eastAsia="zh-CN"/>
              </w:rPr>
              <w:t>轴向硬度</w:t>
            </w:r>
            <w:r>
              <w:rPr>
                <w:rFonts w:hint="eastAsia" w:ascii="仿宋_GB2312" w:hAnsi="宋体" w:eastAsia="仿宋_GB2312" w:cs="宋体"/>
                <w:kern w:val="0"/>
                <w:sz w:val="24"/>
              </w:rPr>
              <w:t>阈值正常参考范围</w:t>
            </w:r>
            <w:r>
              <w:rPr>
                <w:rFonts w:hint="eastAsia" w:ascii="仿宋_GB2312" w:hAnsi="宋体" w:eastAsia="仿宋_GB2312" w:cs="宋体"/>
                <w:kern w:val="0"/>
                <w:sz w:val="24"/>
                <w:lang w:val="en-US" w:eastAsia="zh-CN"/>
              </w:rPr>
              <w:t>100g-</w:t>
            </w:r>
            <w:r>
              <w:rPr>
                <w:rFonts w:hint="eastAsia" w:ascii="仿宋_GB2312" w:hAnsi="宋体" w:eastAsia="仿宋_GB2312" w:cs="宋体"/>
                <w:kern w:val="0"/>
                <w:sz w:val="24"/>
              </w:rPr>
              <w:t>-</w:t>
            </w:r>
            <w:r>
              <w:rPr>
                <w:rFonts w:hint="eastAsia" w:ascii="仿宋_GB2312" w:hAnsi="宋体" w:eastAsia="仿宋_GB2312" w:cs="宋体"/>
                <w:kern w:val="0"/>
                <w:sz w:val="24"/>
                <w:lang w:val="en-US" w:eastAsia="zh-CN"/>
              </w:rPr>
              <w:t>2000g</w:t>
            </w:r>
            <w:r>
              <w:rPr>
                <w:rFonts w:hint="eastAsia" w:ascii="仿宋_GB2312" w:hAnsi="宋体" w:eastAsia="仿宋_GB2312" w:cs="宋体"/>
                <w:kern w:val="0"/>
                <w:sz w:val="24"/>
              </w:rPr>
              <w:t>（提供检测报告，说明书等证明材料）</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pStyle w:val="11"/>
              <w:widowControl/>
              <w:numPr>
                <w:numId w:val="0"/>
              </w:numPr>
              <w:spacing w:before="100" w:beforeAutospacing="1" w:after="100" w:afterAutospacing="1" w:line="320" w:lineRule="exact"/>
              <w:ind w:leftChars="0"/>
              <w:rPr>
                <w:rFonts w:ascii="仿宋" w:hAnsi="仿宋" w:eastAsia="仿宋"/>
                <w:b w:val="0"/>
                <w:bCs/>
                <w:szCs w:val="21"/>
              </w:rPr>
            </w:pPr>
            <w:r>
              <w:rPr>
                <w:rFonts w:hint="eastAsia" w:ascii="仿宋_GB2312" w:hAnsi="宋体" w:eastAsia="仿宋_GB2312" w:cs="宋体"/>
                <w:kern w:val="0"/>
                <w:sz w:val="24"/>
                <w:lang w:eastAsia="zh-CN"/>
              </w:rPr>
              <w:t>勃起周径测量范围</w:t>
            </w:r>
            <w:r>
              <w:rPr>
                <w:rFonts w:hint="eastAsia" w:ascii="仿宋_GB2312" w:hAnsi="宋体" w:eastAsia="仿宋_GB2312" w:cs="宋体"/>
                <w:kern w:val="0"/>
                <w:sz w:val="24"/>
                <w:lang w:val="en-US" w:eastAsia="zh-CN"/>
              </w:rPr>
              <w:t>7.9cm--12.6cm</w:t>
            </w:r>
            <w:r>
              <w:rPr>
                <w:rFonts w:hint="eastAsia" w:ascii="仿宋_GB2312" w:hAnsi="宋体" w:eastAsia="仿宋_GB2312" w:cs="宋体"/>
                <w:kern w:val="0"/>
                <w:sz w:val="24"/>
              </w:rPr>
              <w:t>，误差：≤±</w:t>
            </w:r>
            <w:r>
              <w:rPr>
                <w:rFonts w:hint="eastAsia" w:ascii="仿宋_GB2312" w:hAnsi="宋体" w:eastAsia="仿宋_GB2312" w:cs="宋体"/>
                <w:kern w:val="0"/>
                <w:sz w:val="24"/>
                <w:lang w:val="en-US" w:eastAsia="zh-CN"/>
              </w:rPr>
              <w:t>0.5mm</w:t>
            </w:r>
            <w:r>
              <w:rPr>
                <w:rFonts w:hint="eastAsia" w:ascii="仿宋_GB2312" w:hAnsi="宋体" w:eastAsia="仿宋_GB2312" w:cs="宋体"/>
                <w:kern w:val="0"/>
                <w:sz w:val="24"/>
              </w:rPr>
              <w:t>。（附注册证等证明材料）</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pStyle w:val="11"/>
              <w:widowControl/>
              <w:numPr>
                <w:numId w:val="0"/>
              </w:numPr>
              <w:spacing w:before="100" w:beforeAutospacing="1" w:after="100" w:afterAutospacing="1" w:line="320" w:lineRule="exact"/>
              <w:ind w:leftChars="0"/>
              <w:rPr>
                <w:rFonts w:ascii="仿宋" w:hAnsi="仿宋" w:eastAsia="仿宋"/>
                <w:b w:val="0"/>
                <w:bCs/>
                <w:szCs w:val="21"/>
              </w:rPr>
            </w:pPr>
            <w:r>
              <w:rPr>
                <w:rFonts w:hint="eastAsia" w:ascii="仿宋_GB2312" w:hAnsi="宋体" w:eastAsia="仿宋_GB2312" w:cs="宋体"/>
                <w:kern w:val="0"/>
                <w:sz w:val="24"/>
              </w:rPr>
              <w:t>振动头应该耐受医用酒精反复擦拭消毒，不应损坏。</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ascii="仿宋" w:hAnsi="仿宋" w:eastAsia="仿宋"/>
                <w:b w:val="0"/>
                <w:bCs/>
                <w:szCs w:val="21"/>
              </w:rPr>
            </w:pPr>
          </w:p>
        </w:tc>
        <w:tc>
          <w:tcPr>
            <w:tcW w:w="2016" w:type="dxa"/>
          </w:tcPr>
          <w:p>
            <w:pPr>
              <w:spacing w:line="320" w:lineRule="exact"/>
              <w:rPr>
                <w:rFonts w:ascii="仿宋" w:hAnsi="仿宋" w:eastAsia="仿宋"/>
                <w:b w:val="0"/>
                <w:bCs/>
                <w:szCs w:val="21"/>
              </w:rPr>
            </w:pPr>
            <w:r>
              <w:rPr>
                <w:rFonts w:hint="eastAsia" w:ascii="仿宋_GB2312" w:hAnsi="宋体" w:eastAsia="仿宋_GB2312" w:cs="宋体"/>
                <w:kern w:val="0"/>
                <w:sz w:val="24"/>
                <w:lang w:eastAsia="zh-CN"/>
              </w:rPr>
              <w:t>单次连续测量时间可达</w:t>
            </w:r>
            <w:r>
              <w:rPr>
                <w:rFonts w:hint="eastAsia" w:ascii="仿宋_GB2312" w:hAnsi="宋体" w:eastAsia="仿宋_GB2312" w:cs="宋体"/>
                <w:kern w:val="0"/>
                <w:sz w:val="24"/>
                <w:lang w:val="en-US" w:eastAsia="zh-CN"/>
              </w:rPr>
              <w:t>160s，</w:t>
            </w:r>
            <w:r>
              <w:rPr>
                <w:rFonts w:hint="eastAsia" w:ascii="仿宋_GB2312" w:hAnsi="宋体" w:eastAsia="仿宋_GB2312" w:cs="宋体"/>
                <w:kern w:val="0"/>
                <w:sz w:val="24"/>
              </w:rPr>
              <w:t>连续检测差异一般应小于</w:t>
            </w: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bookmarkStart w:id="0" w:name="_GoBack" w:colFirst="1" w:colLast="2"/>
          </w:p>
        </w:tc>
        <w:tc>
          <w:tcPr>
            <w:tcW w:w="1124" w:type="dxa"/>
          </w:tcPr>
          <w:p>
            <w:pPr>
              <w:spacing w:line="320" w:lineRule="exact"/>
              <w:rPr>
                <w:rFonts w:hint="eastAsia" w:ascii="仿宋_GB2312" w:hAnsi="宋体" w:eastAsia="仿宋_GB2312" w:cs="宋体"/>
                <w:kern w:val="0"/>
                <w:sz w:val="24"/>
                <w:lang w:eastAsia="zh-CN"/>
              </w:rPr>
            </w:pPr>
          </w:p>
        </w:tc>
        <w:tc>
          <w:tcPr>
            <w:tcW w:w="2016" w:type="dxa"/>
            <w:vAlign w:val="top"/>
          </w:tcPr>
          <w:p>
            <w:pPr>
              <w:spacing w:line="320" w:lineRule="exact"/>
              <w:rPr>
                <w:rFonts w:hint="eastAsia" w:ascii="仿宋_GB2312" w:hAnsi="宋体" w:eastAsia="仿宋_GB2312" w:cs="宋体"/>
                <w:kern w:val="0"/>
                <w:sz w:val="24"/>
                <w:lang w:eastAsia="zh-CN"/>
              </w:rPr>
            </w:pPr>
            <w:r>
              <w:rPr>
                <w:rFonts w:hint="default" w:ascii="仿宋_GB2312" w:hAnsi="宋体" w:eastAsia="仿宋_GB2312" w:cs="宋体"/>
                <w:kern w:val="0"/>
                <w:sz w:val="24"/>
                <w:lang w:val="en-US" w:eastAsia="zh-CN"/>
              </w:rPr>
              <w:t>售后服务要求：整机免费保修三年（含所有零部件，包括须定期更换零部件）</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numPr>
                <w:ilvl w:val="0"/>
                <w:numId w:val="1"/>
              </w:numPr>
              <w:spacing w:line="320" w:lineRule="exact"/>
              <w:ind w:left="425" w:leftChars="0" w:hanging="425" w:firstLineChars="0"/>
              <w:rPr>
                <w:rFonts w:ascii="仿宋" w:hAnsi="仿宋" w:eastAsia="仿宋"/>
                <w:b w:val="0"/>
                <w:bCs/>
                <w:szCs w:val="21"/>
              </w:rPr>
            </w:pPr>
          </w:p>
        </w:tc>
        <w:tc>
          <w:tcPr>
            <w:tcW w:w="1124" w:type="dxa"/>
          </w:tcPr>
          <w:p>
            <w:pPr>
              <w:spacing w:line="320" w:lineRule="exact"/>
              <w:rPr>
                <w:rFonts w:hint="eastAsia" w:ascii="仿宋_GB2312" w:hAnsi="宋体" w:eastAsia="仿宋_GB2312" w:cs="宋体"/>
                <w:kern w:val="0"/>
                <w:sz w:val="24"/>
                <w:lang w:eastAsia="zh-CN"/>
              </w:rPr>
            </w:pPr>
          </w:p>
        </w:tc>
        <w:tc>
          <w:tcPr>
            <w:tcW w:w="2016" w:type="dxa"/>
            <w:vAlign w:val="top"/>
          </w:tcPr>
          <w:p>
            <w:pPr>
              <w:spacing w:line="320" w:lineRule="exact"/>
              <w:rPr>
                <w:rFonts w:hint="eastAsia" w:ascii="仿宋_GB2312" w:hAnsi="宋体" w:eastAsia="仿宋_GB2312" w:cs="宋体"/>
                <w:kern w:val="0"/>
                <w:sz w:val="24"/>
                <w:lang w:eastAsia="zh-CN"/>
              </w:rPr>
            </w:pPr>
            <w:r>
              <w:rPr>
                <w:rFonts w:hint="default" w:ascii="仿宋_GB2312" w:hAnsi="宋体" w:eastAsia="仿宋_GB2312" w:cs="宋体"/>
                <w:kern w:val="0"/>
                <w:sz w:val="24"/>
                <w:lang w:val="en-US" w:eastAsia="zh-CN"/>
              </w:rPr>
              <w:t>提供近3年内同机型设备国内医院用户合同5家及以上，标书内提供清晰的合同原件扫描件并加盖公章（遮盖认定为无效业绩）</w:t>
            </w:r>
          </w:p>
        </w:tc>
        <w:tc>
          <w:tcPr>
            <w:tcW w:w="1056" w:type="dxa"/>
          </w:tcPr>
          <w:p>
            <w:pPr>
              <w:spacing w:line="320" w:lineRule="exact"/>
              <w:rPr>
                <w:rFonts w:ascii="仿宋" w:hAnsi="仿宋" w:eastAsia="仿宋"/>
                <w:b w:val="0"/>
                <w:bCs/>
                <w:szCs w:val="21"/>
              </w:rPr>
            </w:pPr>
          </w:p>
        </w:tc>
        <w:tc>
          <w:tcPr>
            <w:tcW w:w="804" w:type="dxa"/>
          </w:tcPr>
          <w:p>
            <w:pPr>
              <w:spacing w:line="320" w:lineRule="exact"/>
              <w:rPr>
                <w:rFonts w:ascii="仿宋" w:hAnsi="仿宋" w:eastAsia="仿宋"/>
                <w:b w:val="0"/>
                <w:bCs/>
                <w:szCs w:val="21"/>
              </w:rPr>
            </w:pPr>
          </w:p>
        </w:tc>
        <w:tc>
          <w:tcPr>
            <w:tcW w:w="2015" w:type="dxa"/>
          </w:tcPr>
          <w:p>
            <w:pPr>
              <w:spacing w:line="320" w:lineRule="exact"/>
              <w:rPr>
                <w:rFonts w:ascii="仿宋" w:hAnsi="仿宋" w:eastAsia="仿宋"/>
                <w:b w:val="0"/>
                <w:bCs/>
                <w:szCs w:val="21"/>
              </w:rPr>
            </w:pPr>
          </w:p>
        </w:tc>
        <w:tc>
          <w:tcPr>
            <w:tcW w:w="1959"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E2ED6"/>
    <w:multiLevelType w:val="singleLevel"/>
    <w:tmpl w:val="2A1E2ED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C4144"/>
    <w:rsid w:val="6F0C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2022-03-16T02:27:00Z</dcterms:created>
  <dc:creator>今晚打老虎จุ๊บ</dc:creator>
  <cp:lastModifiedBy>今晚打老虎จุ๊บ</cp:lastModifiedBy>
  <dcterms:modified xsi:type="dcterms:W3CDTF">2022-03-16T02:32:34Z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FD689AE22A904E1EBF5002E014DAB44D</vt:lpwstr>
  </property>
</Properties>
</file>