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b/>
          <w:bCs/>
          <w:i w:val="0"/>
          <w:caps w:val="0"/>
          <w:spacing w:val="0"/>
          <w:w w:val="100"/>
          <w:sz w:val="28"/>
          <w:szCs w:val="28"/>
          <w:u w:val="single"/>
        </w:rPr>
        <w:t>红蓝光治疗仪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bookmarkStart w:id="0" w:name="_GoBack" w:colFirst="0" w:colLast="0"/>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该产品主要适用于消炎、镇痛、促进血液循环、加速伤口愈合，及对痤疮的辅助治疗。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光源聚光设计：菲涅尔聚光技术；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半导体固态光源（点阵集成式芯片）；光功率密度≥1200mw/cm²；</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红光中心波长为：625±10nm；蓝光中心波长为：465±10nm；(附食品药品监督管理局检测报告证明材料)</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功率调节方式，1~5级能量可调；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治疗头温度，仪器在正常工作时，治疗头外壳表面温度不超过41℃；(附食品药品监督管理局检测报告证明材料)</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光源稳定工作后，其光功率变化率为±1%；(附食品药品监督管理局检测报告证明材料)</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光源稳定工作后，有效红光辐照度的均匀性＞0.4；(附食品药品监督管理局检测报告证明材料)</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定时设置，0～99 分钟连续可调；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最大治疗半径＞500mm，最大功耗300W，灯头照射角度360°可旋转；</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可按照医保报销目录进行收费，且收费名称与设备名称一致；按照红光、蓝光治疗收费；</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须要提供两份三甲医院的临床报告；</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液晶屏显示，触摸操作，手动操作；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Calibri" w:hAnsi="Calibri" w:eastAsia="宋体" w:cs="Times New Roman"/>
                <w:sz w:val="24"/>
                <w:szCs w:val="32"/>
              </w:rPr>
              <w:t>产品售后服务：省内设有厂家办事处，同时驻有售后维修人员，并且开通400服务热线和售后专线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售后服务要求：整机免费保修三年（含所有零部件，包括须定期更换零部件）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09B49"/>
    <w:multiLevelType w:val="singleLevel"/>
    <w:tmpl w:val="8B809B4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6093A"/>
    <w:rsid w:val="6B460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2022-03-08T06:58:00Z</dcterms:created>
  <dc:creator>今晚打老虎จุ๊บ</dc:creator>
  <cp:lastModifiedBy>今晚打老虎จุ๊บ</cp:lastModifiedBy>
  <dcterms:modified xsi:type="dcterms:W3CDTF">2022-03-08T07:01:47Z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0D029BABDE304808B8F93875FFC3930A</vt:lpwstr>
  </property>
</Properties>
</file>