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变频便携式体外膈肌起搏器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2"/>
          <w:rFonts w:hint="eastAsia" w:ascii="仿宋" w:hAnsi="仿宋" w:eastAsia="仿宋" w:cs="仿宋"/>
          <w:b w:val="0"/>
          <w:bCs/>
          <w:color w:val="auto"/>
          <w:sz w:val="21"/>
          <w:szCs w:val="21"/>
          <w:lang w:eastAsia="zh-CN"/>
        </w:rPr>
        <w:t>具备</w:t>
      </w:r>
      <w:r>
        <w:rPr>
          <w:rStyle w:val="12"/>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2"/>
          <w:rFonts w:hint="eastAsia" w:ascii="仿宋" w:hAnsi="仿宋" w:eastAsia="仿宋" w:cs="仿宋"/>
          <w:b/>
          <w:bCs w:val="0"/>
          <w:color w:val="auto"/>
          <w:sz w:val="21"/>
          <w:szCs w:val="21"/>
          <w:lang w:eastAsia="zh-CN"/>
        </w:rPr>
        <w:t>或具备</w:t>
      </w:r>
      <w:r>
        <w:rPr>
          <w:rStyle w:val="12"/>
          <w:rFonts w:hint="eastAsia" w:ascii="仿宋" w:hAnsi="仿宋" w:eastAsia="仿宋" w:cs="仿宋"/>
          <w:b/>
          <w:bCs w:val="0"/>
          <w:color w:val="auto"/>
          <w:sz w:val="21"/>
          <w:szCs w:val="21"/>
          <w:lang w:val="en-US" w:eastAsia="zh-CN"/>
        </w:rPr>
        <w:t>CMA【或CNAS】资质检测机构）</w:t>
      </w:r>
      <w:r>
        <w:rPr>
          <w:rStyle w:val="12"/>
          <w:rFonts w:hint="eastAsia" w:ascii="仿宋" w:hAnsi="仿宋" w:eastAsia="仿宋" w:cs="仿宋"/>
          <w:b w:val="0"/>
          <w:bCs/>
          <w:color w:val="auto"/>
          <w:sz w:val="21"/>
          <w:szCs w:val="21"/>
          <w:lang w:val="en-US" w:eastAsia="zh-CN"/>
        </w:rPr>
        <w:t>出具的</w:t>
      </w:r>
      <w:r>
        <w:rPr>
          <w:rStyle w:val="12"/>
          <w:rFonts w:hint="eastAsia" w:ascii="仿宋" w:hAnsi="仿宋" w:eastAsia="仿宋" w:cs="仿宋"/>
          <w:b w:val="0"/>
          <w:bCs/>
          <w:color w:val="auto"/>
          <w:sz w:val="21"/>
          <w:szCs w:val="21"/>
        </w:rPr>
        <w:t>质检报告原件扫描件</w:t>
      </w:r>
      <w:r>
        <w:rPr>
          <w:rStyle w:val="12"/>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2"/>
          <w:rFonts w:hint="eastAsia" w:ascii="仿宋" w:hAnsi="仿宋" w:eastAsia="仿宋" w:cs="仿宋"/>
          <w:b w:val="0"/>
          <w:bCs/>
          <w:color w:val="auto"/>
          <w:sz w:val="21"/>
          <w:szCs w:val="21"/>
        </w:rPr>
        <w:t>食药监局</w:t>
      </w:r>
      <w:r>
        <w:rPr>
          <w:rStyle w:val="12"/>
          <w:rFonts w:hint="eastAsia" w:ascii="仿宋" w:hAnsi="仿宋" w:eastAsia="仿宋" w:cs="仿宋"/>
          <w:b w:val="0"/>
          <w:bCs/>
          <w:color w:val="auto"/>
          <w:sz w:val="21"/>
          <w:szCs w:val="21"/>
          <w:lang w:eastAsia="zh-CN"/>
        </w:rPr>
        <w:t>或</w:t>
      </w:r>
      <w:r>
        <w:rPr>
          <w:rStyle w:val="12"/>
          <w:rFonts w:hint="eastAsia" w:ascii="仿宋" w:hAnsi="仿宋" w:eastAsia="仿宋" w:cs="仿宋"/>
          <w:b w:val="0"/>
          <w:bCs/>
          <w:color w:val="auto"/>
          <w:sz w:val="21"/>
          <w:szCs w:val="21"/>
        </w:rPr>
        <w:t>其下属单位</w:t>
      </w:r>
      <w:r>
        <w:rPr>
          <w:rStyle w:val="12"/>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639"/>
        <w:gridCol w:w="2760"/>
        <w:gridCol w:w="1110"/>
        <w:gridCol w:w="750"/>
        <w:gridCol w:w="1731"/>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84"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75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3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639"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7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50" w:type="dxa"/>
            <w:vMerge w:val="continue"/>
          </w:tcPr>
          <w:p>
            <w:pPr>
              <w:spacing w:line="320" w:lineRule="exact"/>
              <w:rPr>
                <w:rFonts w:ascii="仿宋" w:hAnsi="仿宋" w:eastAsia="仿宋"/>
                <w:b w:val="0"/>
                <w:bCs/>
                <w:szCs w:val="21"/>
              </w:rPr>
            </w:pPr>
          </w:p>
        </w:tc>
        <w:tc>
          <w:tcPr>
            <w:tcW w:w="1731"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bookmarkStart w:id="0" w:name="_GoBack" w:colFirst="0" w:colLast="0"/>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用于慢性阻塞性肺疾病引发的气短或呼吸困难、慢性咳嗽、咳痰、喘息症状的辅助治疗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通过功能性电刺激对膈肌进行起搏治疗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7英寸彩色触摸液晶屏，分辨率1024*600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通过功能性电刺激对膈肌进行起搏治疗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机器自身可监测血氧饱和度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rPr>
              <w:t>变频便携式</w:t>
            </w:r>
            <w:r>
              <w:rPr>
                <w:rFonts w:hint="eastAsia" w:ascii="Calibri" w:hAnsi="Calibri" w:eastAsia="宋体" w:cs="Times New Roman"/>
                <w:sz w:val="24"/>
                <w:szCs w:val="32"/>
              </w:rPr>
              <w:t>膈肌起搏器主机；线缆包（电源线、刺激线、成人指夹血氧探头）</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输出脉冲频率及脉宽：工作频率；40Hz±10%最小脉冲宽度：0.3ms±10% 复合频率（40Hz+2.5Hz）±10%，（40Hz+10Hz）±10%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输出脉冲峰值电压：脉冲峰值电压为0V-15V,分为31档调节，误差±15%</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输出脉冲串时间间隔：输出脉冲串时间间隔可调节，分为1s,2s,3s,4s,5s,6s,,误差±10%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输出脉冲串宽度：1.2s±10%</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电极：电极采用纽扣电极，电极与控制器连接良好无松动。.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血氧饱和度：显示范围0~100%，测量误差80%~100%范围内，±3%</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内置电池：可持续供电</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工作频率：；40Hz、40Hz+2.5Hz、40Hz+10Hz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7英寸彩色触摸液晶屏，分辨率1024*600</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可监测血氧饱和度</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报警及安全指标</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具有报警指示灯</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 xml:space="preserve">具有报警音                                 </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220V交流电源、室温</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vAlign w:val="top"/>
          </w:tcPr>
          <w:p>
            <w:pPr>
              <w:numPr>
                <w:ilvl w:val="0"/>
                <w:numId w:val="0"/>
              </w:numPr>
              <w:spacing w:line="320" w:lineRule="exact"/>
              <w:ind w:left="0" w:leftChars="0" w:firstLine="0" w:firstLineChars="0"/>
              <w:rPr>
                <w:rFonts w:hint="eastAsia" w:ascii="Calibri" w:hAnsi="Calibri" w:eastAsia="宋体" w:cs="Times New Roman"/>
                <w:sz w:val="24"/>
                <w:szCs w:val="32"/>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39" w:type="dxa"/>
          </w:tcPr>
          <w:p>
            <w:pPr>
              <w:spacing w:line="320" w:lineRule="exact"/>
              <w:rPr>
                <w:rFonts w:ascii="仿宋" w:hAnsi="仿宋" w:eastAsia="仿宋"/>
                <w:b w:val="0"/>
                <w:bCs/>
                <w:szCs w:val="21"/>
              </w:rPr>
            </w:pPr>
          </w:p>
        </w:tc>
        <w:tc>
          <w:tcPr>
            <w:tcW w:w="2760" w:type="dxa"/>
            <w:vAlign w:val="top"/>
          </w:tcPr>
          <w:p>
            <w:pPr>
              <w:numPr>
                <w:ilvl w:val="0"/>
                <w:numId w:val="0"/>
              </w:numPr>
              <w:spacing w:line="320" w:lineRule="exact"/>
              <w:ind w:left="0" w:leftChars="0" w:firstLine="0" w:firstLineChars="0"/>
              <w:rPr>
                <w:rFonts w:hint="eastAsia" w:ascii="Calibri" w:hAnsi="Calibri" w:eastAsia="宋体" w:cs="Times New Roman"/>
                <w:sz w:val="24"/>
                <w:szCs w:val="32"/>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11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FC4BB"/>
    <w:multiLevelType w:val="singleLevel"/>
    <w:tmpl w:val="E52FC4B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C0686"/>
    <w:rsid w:val="11D35652"/>
    <w:rsid w:val="1C1C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rPr>
      <w:sz w:val="24"/>
    </w:rPr>
  </w:style>
  <w:style w:type="paragraph" w:styleId="7">
    <w:name w:val="envelope return"/>
    <w:basedOn w:val="1"/>
    <w:qFormat/>
    <w:uiPriority w:val="0"/>
    <w:pPr>
      <w:snapToGrid w:val="0"/>
    </w:pPr>
    <w:rPr>
      <w:rFonts w:ascii="Arial" w:hAnsi="Arial"/>
    </w:rPr>
  </w:style>
  <w:style w:type="paragraph" w:styleId="8">
    <w:name w:val="Body Text First Indent 2"/>
    <w:basedOn w:val="6"/>
    <w:next w:val="3"/>
    <w:qFormat/>
    <w:uiPriority w:val="0"/>
    <w:pPr>
      <w:tabs>
        <w:tab w:val="left" w:pos="0"/>
        <w:tab w:val="left" w:pos="993"/>
        <w:tab w:val="left" w:pos="1134"/>
      </w:tabs>
      <w:ind w:firstLine="420" w:firstLineChars="20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2022-03-07T08:14:00Z</dcterms:created>
  <dc:creator>今晚打老虎จุ๊บ</dc:creator>
  <cp:lastModifiedBy>今晚打老虎จุ๊บ</cp:lastModifiedBy>
  <dcterms:modified xsi:type="dcterms:W3CDTF">2022-03-07T08:19:43Z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899628ECB949487DA632415DEA871038</vt:lpwstr>
  </property>
</Properties>
</file>