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Theme="majorEastAsia" w:hAnsiTheme="majorEastAsia" w:eastAsiaTheme="majorEastAsia"/>
          <w:b/>
          <w:sz w:val="32"/>
          <w:szCs w:val="32"/>
          <w:u w:val="single"/>
        </w:rPr>
        <w:t>（</w:t>
      </w:r>
      <w:r>
        <w:rPr>
          <w:rFonts w:hint="eastAsia" w:asciiTheme="majorEastAsia" w:hAnsiTheme="majorEastAsia" w:eastAsiaTheme="majorEastAsia"/>
          <w:b/>
          <w:sz w:val="32"/>
          <w:szCs w:val="32"/>
          <w:u w:val="single"/>
        </w:rPr>
        <w:t>下肢关节型）关节康复器</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40" w:lineRule="atLeast"/>
              <w:rPr>
                <w:rFonts w:ascii="仿宋" w:hAnsi="仿宋" w:eastAsia="仿宋"/>
                <w:b w:val="0"/>
                <w:bCs/>
                <w:szCs w:val="21"/>
              </w:rPr>
            </w:pPr>
            <w:r>
              <w:rPr>
                <w:rFonts w:hint="eastAsia" w:ascii="宋体" w:hAnsi="宋体" w:cs="楷体_GB2312"/>
                <w:color w:val="000000"/>
                <w:sz w:val="24"/>
                <w:szCs w:val="28"/>
              </w:rPr>
              <w:t>仪器组成：主机（含控制部分）、关节固定机构、支撑机构、调节杆、手持操作器组成。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40" w:lineRule="atLeast"/>
              <w:rPr>
                <w:rFonts w:ascii="仿宋" w:hAnsi="仿宋" w:eastAsia="仿宋"/>
                <w:b w:val="0"/>
                <w:bCs/>
                <w:szCs w:val="21"/>
              </w:rPr>
            </w:pPr>
            <w:r>
              <w:rPr>
                <w:rFonts w:hint="eastAsia" w:ascii="宋体" w:hAnsi="宋体" w:cs="楷体_GB2312"/>
                <w:color w:val="000000"/>
                <w:sz w:val="24"/>
                <w:szCs w:val="28"/>
              </w:rPr>
              <w:t>输入功率：≤</w:t>
            </w:r>
            <w:r>
              <w:rPr>
                <w:rFonts w:hint="eastAsia" w:ascii="宋体" w:hAnsi="宋体" w:cs="宋体"/>
                <w:color w:val="000000"/>
                <w:sz w:val="24"/>
                <w:szCs w:val="24"/>
              </w:rPr>
              <w:t>80VA</w:t>
            </w:r>
            <w:r>
              <w:rPr>
                <w:rFonts w:hint="eastAsia" w:ascii="宋体" w:hAnsi="宋体" w:cs="楷体_GB2312"/>
                <w:color w:val="000000"/>
                <w:sz w:val="24"/>
                <w:szCs w:val="28"/>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240" w:lineRule="atLeast"/>
              <w:rPr>
                <w:rFonts w:ascii="仿宋" w:hAnsi="仿宋" w:eastAsia="仿宋"/>
                <w:b w:val="0"/>
                <w:bCs/>
                <w:szCs w:val="21"/>
              </w:rPr>
            </w:pPr>
            <w:r>
              <w:rPr>
                <w:rFonts w:hint="eastAsia" w:ascii="宋体" w:hAnsi="宋体" w:cs="楷体_GB2312"/>
                <w:color w:val="000000"/>
                <w:sz w:val="24"/>
                <w:szCs w:val="28"/>
              </w:rPr>
              <w:t>角度范围及误差：</w:t>
            </w:r>
            <w:r>
              <w:rPr>
                <w:rFonts w:hint="eastAsia" w:ascii="宋体" w:hAnsi="宋体" w:cs="宋体"/>
                <w:color w:val="000000"/>
                <w:sz w:val="24"/>
                <w:szCs w:val="24"/>
              </w:rPr>
              <w:t>0</w:t>
            </w:r>
            <w:r>
              <w:rPr>
                <w:rFonts w:hint="eastAsia" w:ascii="宋体" w:hAnsi="宋体" w:cs="宋体"/>
                <w:bCs/>
                <w:color w:val="000000"/>
                <w:sz w:val="24"/>
                <w:szCs w:val="24"/>
              </w:rPr>
              <w:t>～</w:t>
            </w:r>
            <w:r>
              <w:rPr>
                <w:rFonts w:hint="eastAsia" w:ascii="宋体" w:hAnsi="宋体" w:cs="宋体"/>
                <w:color w:val="000000"/>
                <w:sz w:val="24"/>
                <w:szCs w:val="24"/>
              </w:rPr>
              <w:t>130°</w:t>
            </w:r>
            <w:r>
              <w:rPr>
                <w:rFonts w:hint="eastAsia" w:ascii="宋体" w:hAnsi="宋体" w:cs="楷体_GB2312"/>
                <w:color w:val="000000"/>
                <w:sz w:val="24"/>
                <w:szCs w:val="28"/>
              </w:rPr>
              <w:t>，膝关节屈曲动作角度</w:t>
            </w:r>
            <w:r>
              <w:rPr>
                <w:rFonts w:hint="eastAsia" w:ascii="宋体" w:hAnsi="宋体" w:cs="宋体"/>
                <w:color w:val="000000"/>
                <w:sz w:val="24"/>
                <w:szCs w:val="24"/>
              </w:rPr>
              <w:t>0</w:t>
            </w:r>
            <w:r>
              <w:rPr>
                <w:rFonts w:hint="eastAsia" w:ascii="宋体" w:hAnsi="宋体" w:cs="宋体"/>
                <w:bCs/>
                <w:color w:val="000000"/>
                <w:sz w:val="24"/>
                <w:szCs w:val="24"/>
              </w:rPr>
              <w:t>～</w:t>
            </w:r>
            <w:r>
              <w:rPr>
                <w:rFonts w:hint="eastAsia" w:ascii="宋体" w:hAnsi="宋体" w:cs="宋体"/>
                <w:color w:val="000000"/>
                <w:sz w:val="24"/>
                <w:szCs w:val="24"/>
              </w:rPr>
              <w:t>130°；髋关节屈曲动作角度0</w:t>
            </w:r>
            <w:r>
              <w:rPr>
                <w:rFonts w:hint="eastAsia" w:ascii="宋体" w:hAnsi="宋体" w:cs="宋体"/>
                <w:bCs/>
                <w:color w:val="000000"/>
                <w:sz w:val="24"/>
                <w:szCs w:val="24"/>
              </w:rPr>
              <w:t>～80°；踝关节屈曲动作角度</w:t>
            </w:r>
            <w:r>
              <w:rPr>
                <w:rFonts w:hint="eastAsia" w:ascii="宋体" w:hAnsi="宋体" w:cs="宋体"/>
                <w:color w:val="000000"/>
                <w:sz w:val="24"/>
                <w:szCs w:val="24"/>
              </w:rPr>
              <w:t>0</w:t>
            </w:r>
            <w:r>
              <w:rPr>
                <w:rFonts w:hint="eastAsia" w:ascii="宋体" w:hAnsi="宋体" w:cs="宋体"/>
                <w:bCs/>
                <w:color w:val="000000"/>
                <w:sz w:val="24"/>
                <w:szCs w:val="24"/>
              </w:rPr>
              <w:t>～60°、内外翻动作角度为</w:t>
            </w:r>
            <w:r>
              <w:rPr>
                <w:rFonts w:hint="eastAsia" w:ascii="宋体" w:hAnsi="宋体" w:cs="宋体"/>
                <w:color w:val="000000"/>
                <w:sz w:val="24"/>
                <w:szCs w:val="24"/>
              </w:rPr>
              <w:t>0</w:t>
            </w:r>
            <w:r>
              <w:rPr>
                <w:rFonts w:hint="eastAsia" w:ascii="宋体" w:hAnsi="宋体" w:cs="宋体"/>
                <w:bCs/>
                <w:color w:val="000000"/>
                <w:sz w:val="24"/>
                <w:szCs w:val="24"/>
              </w:rPr>
              <w:t>～55°。</w:t>
            </w:r>
            <w:r>
              <w:rPr>
                <w:rFonts w:hint="eastAsia" w:ascii="宋体" w:hAnsi="宋体" w:cs="楷体_GB2312"/>
                <w:color w:val="000000"/>
                <w:sz w:val="24"/>
                <w:szCs w:val="28"/>
              </w:rPr>
              <w:t>角度不大于50°时，误差±5%，角度大于50°时，误差±10%。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宋体"/>
                <w:bCs/>
                <w:color w:val="000000"/>
                <w:sz w:val="24"/>
                <w:szCs w:val="24"/>
              </w:rPr>
              <w:t>角速度</w:t>
            </w:r>
            <w:r>
              <w:rPr>
                <w:rFonts w:hint="eastAsia" w:ascii="宋体" w:hAnsi="宋体" w:cs="楷体_GB2312"/>
                <w:color w:val="000000"/>
                <w:sz w:val="24"/>
                <w:szCs w:val="28"/>
              </w:rPr>
              <w:t>：角速度分1至9档可调，步长为1档，连续可调。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楷体_GB2312"/>
                <w:color w:val="000000"/>
                <w:sz w:val="24"/>
                <w:szCs w:val="28"/>
              </w:rPr>
              <w:t>最大角速度：</w:t>
            </w:r>
            <w:r>
              <w:rPr>
                <w:rFonts w:hint="eastAsia" w:ascii="宋体" w:hAnsi="宋体" w:cs="宋体"/>
                <w:color w:val="000000"/>
                <w:sz w:val="24"/>
                <w:szCs w:val="24"/>
              </w:rPr>
              <w:t>≤10°/s。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楷体_GB2312"/>
                <w:color w:val="000000"/>
                <w:sz w:val="24"/>
                <w:szCs w:val="28"/>
              </w:rPr>
              <w:t>痉挛保护：大，中，小3个等级，分别为</w:t>
            </w:r>
            <w:r>
              <w:rPr>
                <w:rFonts w:ascii="宋体" w:hAnsi="宋体" w:cs="楷体_GB2312"/>
                <w:color w:val="000000"/>
                <w:sz w:val="24"/>
                <w:szCs w:val="28"/>
              </w:rPr>
              <w:t>180N</w:t>
            </w:r>
            <w:r>
              <w:rPr>
                <w:rFonts w:hint="eastAsia" w:ascii="宋体" w:hAnsi="宋体" w:cs="楷体_GB2312"/>
                <w:color w:val="000000"/>
                <w:sz w:val="24"/>
                <w:szCs w:val="28"/>
              </w:rPr>
              <w:t>、</w:t>
            </w:r>
            <w:r>
              <w:rPr>
                <w:rFonts w:ascii="宋体" w:hAnsi="宋体" w:cs="楷体_GB2312"/>
                <w:color w:val="000000"/>
                <w:sz w:val="24"/>
                <w:szCs w:val="28"/>
              </w:rPr>
              <w:t>150N</w:t>
            </w:r>
            <w:r>
              <w:rPr>
                <w:rFonts w:hint="eastAsia" w:ascii="宋体" w:hAnsi="宋体" w:cs="楷体_GB2312"/>
                <w:color w:val="000000"/>
                <w:sz w:val="24"/>
                <w:szCs w:val="28"/>
              </w:rPr>
              <w:t>、</w:t>
            </w:r>
            <w:r>
              <w:rPr>
                <w:rFonts w:ascii="宋体" w:hAnsi="宋体" w:cs="楷体_GB2312"/>
                <w:color w:val="000000"/>
                <w:sz w:val="24"/>
                <w:szCs w:val="28"/>
              </w:rPr>
              <w:t>120N</w:t>
            </w:r>
            <w:r>
              <w:rPr>
                <w:rFonts w:hint="eastAsia" w:ascii="宋体" w:hAnsi="宋体" w:cs="楷体_GB2312"/>
                <w:color w:val="000000"/>
                <w:sz w:val="24"/>
                <w:szCs w:val="28"/>
              </w:rPr>
              <w:t>，误差范围为±20%。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宋体"/>
                <w:bCs/>
                <w:color w:val="000000"/>
                <w:sz w:val="24"/>
                <w:szCs w:val="24"/>
              </w:rPr>
              <w:t>调节杆1的长度可调范围0～140mm，误差±10%。</w:t>
            </w:r>
            <w:r>
              <w:rPr>
                <w:rFonts w:hint="eastAsia" w:ascii="宋体" w:hAnsi="宋体" w:cs="宋体"/>
                <w:color w:val="000000"/>
                <w:sz w:val="24"/>
                <w:szCs w:val="24"/>
              </w:rPr>
              <w:t>HB-GJ5</w:t>
            </w:r>
            <w:r>
              <w:rPr>
                <w:rFonts w:hint="eastAsia" w:ascii="宋体" w:hAnsi="宋体" w:cs="宋体"/>
                <w:bCs/>
                <w:color w:val="000000"/>
                <w:sz w:val="24"/>
                <w:szCs w:val="24"/>
              </w:rPr>
              <w:t>调节杆2可调范围为0</w:t>
            </w:r>
            <w:r>
              <w:rPr>
                <w:rFonts w:hint="eastAsia" w:ascii="宋体" w:hAnsi="宋体" w:cs="宋体"/>
                <w:bCs/>
                <w:color w:val="000000"/>
              </w:rPr>
              <w:t>～</w:t>
            </w:r>
            <w:r>
              <w:rPr>
                <w:rFonts w:hint="eastAsia" w:ascii="宋体" w:hAnsi="宋体" w:cs="宋体"/>
                <w:bCs/>
                <w:color w:val="000000"/>
                <w:sz w:val="24"/>
                <w:szCs w:val="24"/>
              </w:rPr>
              <w:t>200mm，误差±10%。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楷体_GB2312"/>
                <w:color w:val="000000"/>
                <w:sz w:val="24"/>
                <w:szCs w:val="28"/>
              </w:rPr>
              <w:t>工作噪音：≤</w:t>
            </w:r>
            <w:r>
              <w:rPr>
                <w:rFonts w:ascii="宋体" w:hAnsi="宋体" w:cs="楷体_GB2312"/>
                <w:color w:val="000000"/>
                <w:sz w:val="24"/>
                <w:szCs w:val="28"/>
              </w:rPr>
              <w:t>60dB</w:t>
            </w:r>
            <w:r>
              <w:rPr>
                <w:rFonts w:hint="eastAsia" w:ascii="宋体" w:hAnsi="宋体" w:cs="楷体_GB2312"/>
                <w:color w:val="000000"/>
                <w:sz w:val="24"/>
                <w:szCs w:val="28"/>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宋体"/>
                <w:color w:val="000000"/>
                <w:sz w:val="24"/>
                <w:szCs w:val="24"/>
              </w:rPr>
              <w:t>最大承重载荷</w:t>
            </w:r>
            <w:r>
              <w:rPr>
                <w:rFonts w:hint="eastAsia" w:ascii="宋体" w:hAnsi="宋体" w:cs="楷体_GB2312"/>
                <w:color w:val="000000"/>
                <w:sz w:val="24"/>
                <w:szCs w:val="28"/>
              </w:rPr>
              <w:t>：</w:t>
            </w:r>
            <w:r>
              <w:rPr>
                <w:rFonts w:hint="eastAsia" w:ascii="宋体" w:hAnsi="宋体" w:cs="宋体"/>
                <w:color w:val="000000"/>
                <w:sz w:val="24"/>
                <w:szCs w:val="24"/>
              </w:rPr>
              <w:t>200N</w:t>
            </w:r>
            <w:r>
              <w:rPr>
                <w:rFonts w:hint="eastAsia" w:ascii="宋体" w:hAnsi="宋体" w:cs="楷体_GB2312"/>
                <w:color w:val="000000"/>
                <w:sz w:val="24"/>
                <w:szCs w:val="28"/>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楷体_GB2312"/>
                <w:color w:val="000000"/>
                <w:sz w:val="24"/>
                <w:szCs w:val="28"/>
              </w:rPr>
              <w:t>治疗时间：1～240分钟，步长为1分钟，连续可调，误差±10%。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20" w:lineRule="exact"/>
              <w:jc w:val="left"/>
              <w:rPr>
                <w:rFonts w:ascii="仿宋" w:hAnsi="仿宋" w:eastAsia="仿宋"/>
                <w:b w:val="0"/>
                <w:bCs/>
                <w:szCs w:val="21"/>
              </w:rPr>
            </w:pPr>
            <w:r>
              <w:rPr>
                <w:rFonts w:hint="eastAsia" w:ascii="宋体" w:hAnsi="宋体" w:cs="楷体_GB2312"/>
                <w:color w:val="000000"/>
                <w:sz w:val="24"/>
                <w:szCs w:val="28"/>
              </w:rPr>
              <w:t>工作模式：正常模式</w:t>
            </w:r>
            <w:r>
              <w:rPr>
                <w:rFonts w:ascii="宋体" w:hAnsi="宋体" w:cs="楷体_GB2312"/>
                <w:color w:val="000000"/>
                <w:sz w:val="24"/>
                <w:szCs w:val="28"/>
              </w:rPr>
              <w:t>、速度模式、角度模式</w:t>
            </w:r>
            <w:r>
              <w:rPr>
                <w:rFonts w:hint="eastAsia" w:ascii="宋体" w:hAnsi="宋体" w:cs="楷体_GB2312"/>
                <w:color w:val="000000"/>
                <w:sz w:val="24"/>
                <w:szCs w:val="28"/>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ascii="Times New Roman" w:hAnsi="Times New Roman" w:eastAsia="宋体" w:cs="Times New Roman"/>
                <w:bCs/>
                <w:color w:val="000000"/>
                <w:sz w:val="24"/>
                <w:szCs w:val="24"/>
              </w:rPr>
              <w:t>提供专利一件。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39DEB"/>
    <w:multiLevelType w:val="singleLevel"/>
    <w:tmpl w:val="69239DE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53788"/>
    <w:rsid w:val="6EA53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2022-03-07T08:31:00Z</dcterms:created>
  <dc:creator>今晚打老虎จุ๊บ</dc:creator>
  <cp:lastModifiedBy>今晚打老虎จุ๊บ</cp:lastModifiedBy>
  <dcterms:modified xsi:type="dcterms:W3CDTF">2022-03-07T08:34:02Z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13A35E95547C43C88A3A82259D2FDB1A</vt:lpwstr>
  </property>
</Properties>
</file>