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红外理疗仪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4"/>
        <w:gridCol w:w="1290"/>
        <w:gridCol w:w="1785"/>
        <w:gridCol w:w="1086"/>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29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78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8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功率</w:t>
            </w:r>
          </w:p>
        </w:tc>
        <w:tc>
          <w:tcPr>
            <w:tcW w:w="1785"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650瓦</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频率</w:t>
            </w:r>
          </w:p>
        </w:tc>
        <w:tc>
          <w:tcPr>
            <w:tcW w:w="1785"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50-60Hz</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灯管寿命</w:t>
            </w:r>
          </w:p>
        </w:tc>
        <w:tc>
          <w:tcPr>
            <w:tcW w:w="1785"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500小时</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电线长度</w:t>
            </w:r>
          </w:p>
        </w:tc>
        <w:tc>
          <w:tcPr>
            <w:tcW w:w="1785"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300厘米</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绝缘层</w:t>
            </w:r>
          </w:p>
        </w:tc>
        <w:tc>
          <w:tcPr>
            <w:tcW w:w="1785"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級別II(双重隔离)</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电压</w:t>
            </w:r>
          </w:p>
        </w:tc>
        <w:tc>
          <w:tcPr>
            <w:tcW w:w="1785"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220-230伏</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keepNext w:val="0"/>
              <w:keepLines w:val="0"/>
              <w:pageBreakBefore w:val="0"/>
              <w:widowControl w:val="0"/>
              <w:numPr>
                <w:numId w:val="0"/>
              </w:numPr>
              <w:kinsoku/>
              <w:wordWrap/>
              <w:overflowPunct/>
              <w:topLinePunct w:val="0"/>
              <w:autoSpaceDE/>
              <w:autoSpaceDN/>
              <w:bidi w:val="0"/>
              <w:adjustRightInd/>
              <w:snapToGrid/>
              <w:spacing w:before="150" w:after="150" w:line="400" w:lineRule="exact"/>
              <w:ind w:leftChars="0" w:right="0" w:rightChars="0"/>
              <w:jc w:val="left"/>
              <w:textAlignment w:val="auto"/>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重量及尺寸</w:t>
            </w:r>
          </w:p>
          <w:p>
            <w:pPr>
              <w:spacing w:line="320" w:lineRule="exact"/>
              <w:rPr>
                <w:rFonts w:hint="default" w:ascii="Calibri" w:hAnsi="Calibri" w:eastAsia="宋体" w:cs="宋体"/>
                <w:color w:val="auto"/>
                <w:spacing w:val="-1"/>
                <w:kern w:val="2"/>
                <w:sz w:val="18"/>
                <w:szCs w:val="18"/>
                <w:lang w:val="en-US" w:eastAsia="zh-CN" w:bidi="ar-SA"/>
              </w:rPr>
            </w:pPr>
          </w:p>
        </w:tc>
        <w:tc>
          <w:tcPr>
            <w:tcW w:w="1785" w:type="dxa"/>
          </w:tcPr>
          <w:p>
            <w:pPr>
              <w:keepNext w:val="0"/>
              <w:keepLines w:val="0"/>
              <w:pageBreakBefore w:val="0"/>
              <w:widowControl w:val="0"/>
              <w:numPr>
                <w:numId w:val="0"/>
              </w:numPr>
              <w:kinsoku/>
              <w:wordWrap/>
              <w:overflowPunct/>
              <w:topLinePunct w:val="0"/>
              <w:autoSpaceDE/>
              <w:autoSpaceDN/>
              <w:bidi w:val="0"/>
              <w:adjustRightInd/>
              <w:snapToGrid/>
              <w:spacing w:before="150" w:after="150" w:line="400" w:lineRule="exact"/>
              <w:ind w:leftChars="0" w:right="0" w:rightChars="0"/>
              <w:jc w:val="left"/>
              <w:textAlignment w:val="auto"/>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产品尺寸：20x124x29(宽x高x厚)厘米</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产品重量</w:t>
            </w:r>
          </w:p>
        </w:tc>
        <w:tc>
          <w:tcPr>
            <w:tcW w:w="1785"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7.2千克</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彩盒尺寸</w:t>
            </w:r>
          </w:p>
        </w:tc>
        <w:tc>
          <w:tcPr>
            <w:tcW w:w="1785" w:type="dxa"/>
          </w:tcPr>
          <w:p>
            <w:pPr>
              <w:keepNext w:val="0"/>
              <w:keepLines w:val="0"/>
              <w:pageBreakBefore w:val="0"/>
              <w:widowControl w:val="0"/>
              <w:numPr>
                <w:numId w:val="0"/>
              </w:numPr>
              <w:kinsoku/>
              <w:wordWrap/>
              <w:overflowPunct/>
              <w:topLinePunct w:val="0"/>
              <w:autoSpaceDE/>
              <w:autoSpaceDN/>
              <w:bidi w:val="0"/>
              <w:adjustRightInd/>
              <w:snapToGrid/>
              <w:spacing w:before="150" w:after="150" w:line="400" w:lineRule="exact"/>
              <w:ind w:leftChars="0" w:right="0" w:rightChars="0"/>
              <w:jc w:val="left"/>
              <w:textAlignment w:val="auto"/>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34.5x60x39(宽x高x厚)厘米</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彩盒重量</w:t>
            </w:r>
          </w:p>
        </w:tc>
        <w:tc>
          <w:tcPr>
            <w:tcW w:w="1785" w:type="dxa"/>
          </w:tcPr>
          <w:p>
            <w:pPr>
              <w:keepNext w:val="0"/>
              <w:keepLines w:val="0"/>
              <w:pageBreakBefore w:val="0"/>
              <w:widowControl w:val="0"/>
              <w:numPr>
                <w:numId w:val="0"/>
              </w:numPr>
              <w:kinsoku/>
              <w:wordWrap/>
              <w:overflowPunct/>
              <w:topLinePunct w:val="0"/>
              <w:autoSpaceDE/>
              <w:autoSpaceDN/>
              <w:bidi w:val="0"/>
              <w:adjustRightInd/>
              <w:snapToGrid/>
              <w:spacing w:before="150" w:after="150" w:line="400" w:lineRule="exact"/>
              <w:ind w:leftChars="0" w:right="0" w:rightChars="0"/>
              <w:jc w:val="left"/>
              <w:textAlignment w:val="auto"/>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9.1千克</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欧洲货板数量</w:t>
            </w:r>
          </w:p>
        </w:tc>
        <w:tc>
          <w:tcPr>
            <w:tcW w:w="1785" w:type="dxa"/>
          </w:tcPr>
          <w:p>
            <w:pPr>
              <w:keepNext w:val="0"/>
              <w:keepLines w:val="0"/>
              <w:pageBreakBefore w:val="0"/>
              <w:widowControl w:val="0"/>
              <w:numPr>
                <w:numId w:val="0"/>
              </w:numPr>
              <w:kinsoku/>
              <w:wordWrap/>
              <w:overflowPunct/>
              <w:topLinePunct w:val="0"/>
              <w:autoSpaceDE/>
              <w:autoSpaceDN/>
              <w:bidi w:val="0"/>
              <w:adjustRightInd/>
              <w:snapToGrid/>
              <w:spacing w:before="150" w:after="150" w:line="400" w:lineRule="exact"/>
              <w:ind w:leftChars="0" w:right="0" w:rightChars="0"/>
              <w:jc w:val="left"/>
              <w:textAlignment w:val="auto"/>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24 件</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p>
        </w:tc>
        <w:tc>
          <w:tcPr>
            <w:tcW w:w="1785" w:type="dxa"/>
          </w:tcPr>
          <w:p>
            <w:pPr>
              <w:keepNext w:val="0"/>
              <w:keepLines w:val="0"/>
              <w:pageBreakBefore w:val="0"/>
              <w:widowControl w:val="0"/>
              <w:numPr>
                <w:numId w:val="0"/>
              </w:numPr>
              <w:kinsoku/>
              <w:wordWrap/>
              <w:overflowPunct/>
              <w:topLinePunct w:val="0"/>
              <w:autoSpaceDE/>
              <w:autoSpaceDN/>
              <w:bidi w:val="0"/>
              <w:adjustRightInd/>
              <w:snapToGrid/>
              <w:spacing w:before="150" w:after="150" w:line="400" w:lineRule="exact"/>
              <w:ind w:leftChars="0" w:right="0" w:rightChars="0"/>
              <w:jc w:val="left"/>
              <w:textAlignment w:val="auto"/>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通过IEC认证：符合IEC60601 和60335</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p>
        </w:tc>
        <w:tc>
          <w:tcPr>
            <w:tcW w:w="1785" w:type="dxa"/>
          </w:tcPr>
          <w:p>
            <w:pPr>
              <w:keepNext w:val="0"/>
              <w:keepLines w:val="0"/>
              <w:pageBreakBefore w:val="0"/>
              <w:widowControl w:val="0"/>
              <w:numPr>
                <w:numId w:val="0"/>
              </w:numPr>
              <w:kinsoku/>
              <w:wordWrap/>
              <w:overflowPunct/>
              <w:topLinePunct w:val="0"/>
              <w:autoSpaceDE/>
              <w:autoSpaceDN/>
              <w:bidi w:val="0"/>
              <w:adjustRightInd/>
              <w:snapToGrid/>
              <w:spacing w:before="150" w:after="150" w:line="400" w:lineRule="exact"/>
              <w:ind w:leftChars="0" w:right="0" w:rightChars="0"/>
              <w:jc w:val="left"/>
              <w:textAlignment w:val="auto"/>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15 分钟自动关闭功能</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p>
        </w:tc>
        <w:tc>
          <w:tcPr>
            <w:tcW w:w="1785" w:type="dxa"/>
            <w:vAlign w:val="top"/>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售后服务要求：整机免费保修三年（含所有零部件，包括须定期更换零部件）</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4" w:type="dxa"/>
          </w:tcPr>
          <w:p>
            <w:pPr>
              <w:numPr>
                <w:ilvl w:val="0"/>
                <w:numId w:val="1"/>
              </w:numPr>
              <w:spacing w:line="320" w:lineRule="exact"/>
              <w:ind w:left="425" w:leftChars="0" w:hanging="425" w:firstLineChars="0"/>
              <w:rPr>
                <w:rFonts w:ascii="仿宋" w:hAnsi="仿宋" w:eastAsia="仿宋"/>
                <w:b w:val="0"/>
                <w:bCs/>
                <w:szCs w:val="21"/>
              </w:rPr>
            </w:pPr>
          </w:p>
        </w:tc>
        <w:tc>
          <w:tcPr>
            <w:tcW w:w="1290" w:type="dxa"/>
          </w:tcPr>
          <w:p>
            <w:pPr>
              <w:spacing w:line="320" w:lineRule="exact"/>
              <w:rPr>
                <w:rFonts w:hint="default" w:ascii="Calibri" w:hAnsi="Calibri" w:eastAsia="宋体" w:cs="宋体"/>
                <w:color w:val="auto"/>
                <w:spacing w:val="-1"/>
                <w:kern w:val="2"/>
                <w:sz w:val="18"/>
                <w:szCs w:val="18"/>
                <w:lang w:val="en-US" w:eastAsia="zh-CN" w:bidi="ar-SA"/>
              </w:rPr>
            </w:pPr>
          </w:p>
        </w:tc>
        <w:tc>
          <w:tcPr>
            <w:tcW w:w="1785" w:type="dxa"/>
            <w:vAlign w:val="top"/>
          </w:tcPr>
          <w:p>
            <w:pPr>
              <w:spacing w:line="320" w:lineRule="exact"/>
              <w:rPr>
                <w:rFonts w:hint="default" w:ascii="Calibri" w:hAnsi="Calibri" w:eastAsia="宋体" w:cs="宋体"/>
                <w:color w:val="auto"/>
                <w:spacing w:val="-1"/>
                <w:kern w:val="2"/>
                <w:sz w:val="18"/>
                <w:szCs w:val="18"/>
                <w:lang w:val="en-US" w:eastAsia="zh-CN" w:bidi="ar-SA"/>
              </w:rPr>
            </w:pPr>
            <w:r>
              <w:rPr>
                <w:rFonts w:hint="default" w:ascii="Calibri" w:hAnsi="Calibri" w:eastAsia="宋体" w:cs="宋体"/>
                <w:color w:val="auto"/>
                <w:spacing w:val="-1"/>
                <w:kern w:val="2"/>
                <w:sz w:val="18"/>
                <w:szCs w:val="18"/>
                <w:lang w:val="en-US" w:eastAsia="zh-CN" w:bidi="ar-SA"/>
              </w:rPr>
              <w:t>提供近3年内同机型设备国内医院用户合同5家及以上，标书内提供清晰的合同原件扫描件并加盖公章（遮盖认定为无效业绩）</w:t>
            </w:r>
          </w:p>
        </w:tc>
        <w:tc>
          <w:tcPr>
            <w:tcW w:w="1086"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459CA"/>
    <w:multiLevelType w:val="singleLevel"/>
    <w:tmpl w:val="4AE459C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1132E"/>
    <w:rsid w:val="5BC1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0"/>
        <w:tab w:val="left" w:pos="993"/>
        <w:tab w:val="left" w:pos="1134"/>
      </w:tabs>
      <w:ind w:firstLine="420" w:firstLineChars="200"/>
    </w:pPr>
  </w:style>
  <w:style w:type="paragraph" w:styleId="3">
    <w:name w:val="Body Text Indent"/>
    <w:basedOn w:val="1"/>
    <w:next w:val="4"/>
    <w:qFormat/>
    <w:uiPriority w:val="0"/>
    <w:pPr>
      <w:spacing w:after="120"/>
      <w:ind w:left="420" w:leftChars="200"/>
    </w:pPr>
    <w:rPr>
      <w:sz w:val="24"/>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pPr>
  </w:style>
  <w:style w:type="paragraph" w:customStyle="1" w:styleId="6">
    <w:name w:val="style4"/>
    <w:basedOn w:val="1"/>
    <w:next w:val="7"/>
    <w:qFormat/>
    <w:uiPriority w:val="0"/>
    <w:pPr>
      <w:widowControl/>
      <w:spacing w:before="280" w:after="280"/>
    </w:pPr>
    <w:rPr>
      <w:rFonts w:ascii="宋体" w:hAnsi="Times New Roman" w:eastAsia="宋体" w:cs="Times New Roman"/>
      <w:sz w:val="18"/>
    </w:rPr>
  </w:style>
  <w:style w:type="paragraph" w:customStyle="1" w:styleId="7">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Plain Text"/>
    <w:basedOn w:val="1"/>
    <w:next w:val="1"/>
    <w:qFormat/>
    <w:uiPriority w:val="0"/>
    <w:rPr>
      <w:rFonts w:ascii="宋体" w:hAnsi="Courier New"/>
      <w:color w:val="000000"/>
      <w:szCs w:val="20"/>
    </w:rPr>
  </w:style>
  <w:style w:type="paragraph" w:styleId="9">
    <w:name w:val="toc 8"/>
    <w:basedOn w:val="1"/>
    <w:next w:val="1"/>
    <w:qFormat/>
    <w:uiPriority w:val="0"/>
    <w:pPr>
      <w:ind w:left="2940" w:leftChars="1400"/>
    </w:pPr>
  </w:style>
  <w:style w:type="paragraph" w:styleId="10">
    <w:name w:val="Body Text First Indent"/>
    <w:basedOn w:val="5"/>
    <w:unhideWhenUsed/>
    <w:qFormat/>
    <w:uiPriority w:val="99"/>
    <w:pPr>
      <w:ind w:firstLine="420" w:firstLineChars="100"/>
    </w:pPr>
    <w:rPr>
      <w:rFonts w:ascii="Times New Roman" w:hAnsi="Times New Roman"/>
      <w:kern w:val="0"/>
      <w:sz w:val="20"/>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2022-03-03T07:38:00Z</dcterms:created>
  <dc:creator>今晚打老虎จุ๊บ</dc:creator>
  <cp:lastModifiedBy>今晚打老虎จุ๊บ</cp:lastModifiedBy>
  <dcterms:modified xsi:type="dcterms:W3CDTF">2022-03-03T07:47:56Z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E64A53C29CF34ED98B6595AF73505358</vt:lpwstr>
  </property>
</Properties>
</file>