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lang w:val="en-US" w:eastAsia="zh-CN"/>
        </w:rPr>
        <w:t xml:space="preserve">    </w:t>
      </w:r>
      <w:r>
        <w:rPr>
          <w:rFonts w:hint="eastAsia" w:asciiTheme="majorEastAsia" w:hAnsiTheme="majorEastAsia" w:eastAsiaTheme="majorEastAsia"/>
          <w:b/>
          <w:sz w:val="32"/>
          <w:szCs w:val="32"/>
        </w:rPr>
        <w:t>拟购</w:t>
      </w:r>
      <w:r>
        <w:rPr>
          <w:rFonts w:hint="eastAsia"/>
          <w:sz w:val="32"/>
          <w:szCs w:val="32"/>
          <w:u w:val="single"/>
        </w:rPr>
        <w:t>振荡排痰仪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1"/>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bookmarkStart w:id="0" w:name="_GoBack" w:colFirst="0" w:colLast="0"/>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hint="eastAsia" w:ascii="宋体" w:hAnsi="宋体"/>
                <w:sz w:val="24"/>
                <w:szCs w:val="24"/>
                <w:shd w:val="clear" w:color="auto" w:fill="FFFFFF"/>
              </w:rPr>
              <w:t>背心穿戴式设计，</w:t>
            </w:r>
            <w:r>
              <w:rPr>
                <w:rFonts w:hint="eastAsia" w:ascii="宋体" w:hAnsi="宋体"/>
                <w:sz w:val="24"/>
                <w:szCs w:val="24"/>
                <w:shd w:val="clear" w:color="auto" w:fill="FFFFFF"/>
                <w:lang w:val="en-US" w:eastAsia="zh-CN"/>
              </w:rPr>
              <w:t>大、中、小三种规格以上，</w:t>
            </w:r>
            <w:r>
              <w:rPr>
                <w:rFonts w:hint="eastAsia" w:ascii="宋体" w:hAnsi="宋体"/>
                <w:sz w:val="24"/>
                <w:szCs w:val="24"/>
                <w:shd w:val="clear" w:color="auto" w:fill="FFFFFF"/>
              </w:rPr>
              <w:t>适合不同体型患者要求，可满足全胸振荡排痰的需求；</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hint="eastAsia" w:ascii="宋体" w:hAnsi="宋体"/>
                <w:sz w:val="24"/>
                <w:szCs w:val="24"/>
                <w:shd w:val="clear" w:color="auto" w:fill="FFFFFF"/>
              </w:rPr>
              <w:t>主机触摸屏控制，内置多种操作模式，操作简便；</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hint="eastAsia" w:ascii="宋体" w:hAnsi="宋体"/>
                <w:sz w:val="24"/>
                <w:szCs w:val="24"/>
                <w:shd w:val="clear" w:color="auto" w:fill="FFFFFF"/>
              </w:rPr>
              <w:t>可适配雾化装置，做到雾化、排痰一体化操作；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hint="eastAsia" w:ascii="宋体" w:hAnsi="宋体"/>
                <w:sz w:val="24"/>
                <w:szCs w:val="24"/>
                <w:shd w:val="clear" w:color="auto" w:fill="FFFFFF"/>
              </w:rPr>
              <w:t>穿戴式背心、连接管道等可拆卸，易清洗；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hint="eastAsia" w:ascii="宋体" w:hAnsi="宋体"/>
                <w:sz w:val="24"/>
                <w:szCs w:val="24"/>
                <w:shd w:val="clear" w:color="auto" w:fill="FFFFFF"/>
              </w:rPr>
              <w:t>气振式设计，</w:t>
            </w:r>
            <w:r>
              <w:rPr>
                <w:rFonts w:ascii="宋体" w:hAnsi="宋体"/>
                <w:sz w:val="24"/>
                <w:szCs w:val="24"/>
                <w:shd w:val="clear" w:color="auto" w:fill="FFFFFF"/>
              </w:rPr>
              <w:t>振动频率</w:t>
            </w:r>
            <w:r>
              <w:rPr>
                <w:rFonts w:hint="eastAsia" w:ascii="宋体" w:hAnsi="宋体"/>
                <w:sz w:val="24"/>
                <w:szCs w:val="24"/>
                <w:shd w:val="clear" w:color="auto" w:fill="FFFFFF"/>
                <w:lang w:val="en-US" w:eastAsia="zh-CN"/>
              </w:rPr>
              <w:t>1</w:t>
            </w:r>
            <w:r>
              <w:rPr>
                <w:rFonts w:ascii="宋体" w:hAnsi="宋体"/>
                <w:sz w:val="24"/>
                <w:szCs w:val="24"/>
                <w:shd w:val="clear" w:color="auto" w:fill="FFFFFF"/>
              </w:rPr>
              <w:t>Hz～</w:t>
            </w:r>
            <w:r>
              <w:rPr>
                <w:rFonts w:hint="eastAsia" w:ascii="宋体" w:hAnsi="宋体"/>
                <w:sz w:val="24"/>
                <w:szCs w:val="24"/>
                <w:shd w:val="clear" w:color="auto" w:fill="FFFFFF"/>
                <w:lang w:val="en-US" w:eastAsia="zh-CN"/>
              </w:rPr>
              <w:t>20</w:t>
            </w:r>
            <w:r>
              <w:rPr>
                <w:rFonts w:ascii="宋体" w:hAnsi="宋体"/>
                <w:sz w:val="24"/>
                <w:szCs w:val="24"/>
                <w:shd w:val="clear" w:color="auto" w:fill="FFFFFF"/>
              </w:rPr>
              <w:t>Hz，连续可调；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ascii="宋体" w:hAnsi="宋体"/>
                <w:sz w:val="24"/>
                <w:szCs w:val="24"/>
                <w:shd w:val="clear" w:color="auto" w:fill="FFFFFF"/>
              </w:rPr>
              <w:t>气动压力范围：0.</w:t>
            </w:r>
            <w:r>
              <w:rPr>
                <w:rFonts w:hint="eastAsia" w:ascii="宋体" w:hAnsi="宋体"/>
                <w:sz w:val="24"/>
                <w:szCs w:val="24"/>
                <w:shd w:val="clear" w:color="auto" w:fill="FFFFFF"/>
                <w:lang w:val="en-US" w:eastAsia="zh-CN"/>
              </w:rPr>
              <w:t>3</w:t>
            </w:r>
            <w:r>
              <w:rPr>
                <w:rFonts w:ascii="宋体" w:hAnsi="宋体"/>
                <w:sz w:val="24"/>
                <w:szCs w:val="24"/>
                <w:shd w:val="clear" w:color="auto" w:fill="FFFFFF"/>
              </w:rPr>
              <w:t>Kpa～3.2Kpa，连续可调；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hint="eastAsia" w:ascii="宋体" w:hAnsi="宋体"/>
                <w:sz w:val="24"/>
                <w:szCs w:val="24"/>
                <w:shd w:val="clear" w:color="auto" w:fill="FFFFFF"/>
              </w:rPr>
              <w:t>可定时，治疗时间可调</w:t>
            </w:r>
            <w:r>
              <w:rPr>
                <w:rFonts w:ascii="宋体" w:hAnsi="宋体"/>
                <w:sz w:val="24"/>
                <w:szCs w:val="24"/>
                <w:shd w:val="clear" w:color="auto" w:fill="FFFFFF"/>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hint="eastAsia" w:ascii="宋体" w:hAnsi="宋体"/>
                <w:sz w:val="24"/>
                <w:szCs w:val="24"/>
                <w:shd w:val="clear" w:color="auto" w:fill="FFFFFF"/>
              </w:rPr>
              <w:t>主机内置自动模式和手动模式，有内置的常规治疗方案，也可自定义方案；</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pStyle w:val="5"/>
              <w:widowControl/>
              <w:numPr>
                <w:numId w:val="0"/>
              </w:numPr>
              <w:shd w:val="clear" w:color="auto" w:fill="FFFFFF"/>
              <w:spacing w:line="360" w:lineRule="auto"/>
              <w:jc w:val="left"/>
              <w:rPr>
                <w:rFonts w:ascii="仿宋" w:hAnsi="仿宋" w:eastAsia="仿宋"/>
                <w:szCs w:val="21"/>
              </w:rPr>
            </w:pPr>
            <w:r>
              <w:rPr>
                <w:rFonts w:ascii="宋体" w:hAnsi="宋体" w:cs="宋体"/>
                <w:kern w:val="0"/>
                <w:sz w:val="24"/>
                <w:szCs w:val="24"/>
              </w:rPr>
              <w:t>落地柜机推车式设计或便携式设计，可移动，方便灵活。</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94680"/>
    <w:multiLevelType w:val="singleLevel"/>
    <w:tmpl w:val="52B9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55046"/>
    <w:rsid w:val="4C955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2021-07-07T01:14:00Z</dcterms:created>
  <dc:creator>今晚打老虎จุ๊บ</dc:creator>
  <cp:lastModifiedBy>今晚打老虎จุ๊บ</cp:lastModifiedBy>
  <dcterms:modified xsi:type="dcterms:W3CDTF">2021-07-07T01:16:32Z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9EF769FC1D9543C79F4B876C24E7B726</vt:lpwstr>
  </property>
</Properties>
</file>