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6"/>
          <w:szCs w:val="36"/>
          <w:lang w:val="en-US" w:eastAsia="zh-CN"/>
        </w:rPr>
        <w:t xml:space="preserve"> </w:t>
      </w:r>
      <w:bookmarkStart w:id="0" w:name="_GoBack"/>
      <w:bookmarkEnd w:id="0"/>
      <w:r>
        <w:rPr>
          <w:rFonts w:hint="eastAsia" w:asciiTheme="majorEastAsia" w:hAnsiTheme="majorEastAsia" w:eastAsiaTheme="majorEastAsia"/>
          <w:b/>
          <w:sz w:val="32"/>
          <w:szCs w:val="32"/>
        </w:rPr>
        <w:t>拟购</w:t>
      </w:r>
      <w:r>
        <w:rPr>
          <w:rFonts w:hint="eastAsia" w:cs="Calibri"/>
          <w:b/>
          <w:sz w:val="28"/>
          <w:szCs w:val="28"/>
          <w:u w:val="single"/>
        </w:rPr>
        <w:t>精子D</w:t>
      </w:r>
      <w:r>
        <w:rPr>
          <w:rFonts w:cs="Calibri"/>
          <w:b/>
          <w:sz w:val="28"/>
          <w:szCs w:val="28"/>
          <w:u w:val="single"/>
        </w:rPr>
        <w:t>NA</w:t>
      </w:r>
      <w:r>
        <w:rPr>
          <w:rFonts w:hint="eastAsia" w:cs="Calibri"/>
          <w:b/>
          <w:sz w:val="28"/>
          <w:szCs w:val="28"/>
          <w:u w:val="single"/>
        </w:rPr>
        <w:t>碎片指数检测系统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3"/>
        <w:gridCol w:w="671"/>
        <w:gridCol w:w="6158"/>
        <w:gridCol w:w="524"/>
        <w:gridCol w:w="1209"/>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34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524"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209"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71"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158"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524" w:type="dxa"/>
            <w:vMerge w:val="continue"/>
          </w:tcPr>
          <w:p>
            <w:pPr>
              <w:spacing w:line="320" w:lineRule="exact"/>
              <w:rPr>
                <w:rFonts w:ascii="仿宋" w:hAnsi="仿宋" w:eastAsia="仿宋"/>
                <w:szCs w:val="21"/>
              </w:rPr>
            </w:pPr>
          </w:p>
        </w:tc>
        <w:tc>
          <w:tcPr>
            <w:tcW w:w="1209" w:type="dxa"/>
            <w:vMerge w:val="continue"/>
          </w:tcPr>
          <w:p>
            <w:pPr>
              <w:spacing w:line="320" w:lineRule="exact"/>
              <w:rPr>
                <w:rFonts w:ascii="仿宋" w:hAnsi="仿宋" w:eastAsia="仿宋"/>
                <w:szCs w:val="21"/>
              </w:rPr>
            </w:pPr>
          </w:p>
        </w:tc>
        <w:tc>
          <w:tcPr>
            <w:tcW w:w="95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b/>
                <w:bCs/>
                <w:sz w:val="24"/>
              </w:rPr>
              <w:t>一、功能和用途：</w:t>
            </w:r>
            <w:r>
              <w:rPr>
                <w:sz w:val="24"/>
              </w:rPr>
              <w:t>精子DNA碎片化检测是</w:t>
            </w:r>
            <w:r>
              <w:rPr>
                <w:rFonts w:hint="eastAsia"/>
                <w:sz w:val="24"/>
              </w:rPr>
              <w:t>一种</w:t>
            </w:r>
            <w:r>
              <w:rPr>
                <w:sz w:val="24"/>
              </w:rPr>
              <w:t>新的评价精液质量和预测生育能力的指标。精子DNA碎片化程度反映精子遗传物质的完整性，精子DNA发生碎片化会对生育产生负面影响，造成不育和反复流产</w:t>
            </w:r>
            <w:r>
              <w:rPr>
                <w:rFonts w:hint="eastAsia"/>
                <w:sz w:val="24"/>
              </w:rPr>
              <w:t>，该系统包含流式细胞仪、精子D</w:t>
            </w:r>
            <w:r>
              <w:rPr>
                <w:sz w:val="24"/>
              </w:rPr>
              <w:t>NA</w:t>
            </w:r>
            <w:r>
              <w:rPr>
                <w:rFonts w:hint="eastAsia"/>
                <w:sz w:val="24"/>
              </w:rPr>
              <w:t>碎片指数检测软件和相应试剂盒</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b/>
                <w:bCs/>
                <w:sz w:val="24"/>
              </w:rPr>
              <w:t>二、主机技术指标: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医疗器械资质：仪器具有二类医疗器械所必须的国内审批，为非订制式。</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60" w:lineRule="auto"/>
              <w:rPr>
                <w:rFonts w:ascii="仿宋" w:hAnsi="仿宋" w:eastAsia="仿宋"/>
                <w:szCs w:val="21"/>
              </w:rPr>
            </w:pPr>
            <w:r>
              <w:rPr>
                <w:rFonts w:hint="eastAsia"/>
                <w:sz w:val="24"/>
              </w:rPr>
              <w:t>仪器操作系统：数据采集和分析的电脑是基于</w:t>
            </w:r>
            <w:r>
              <w:rPr>
                <w:sz w:val="24"/>
              </w:rPr>
              <w:t>Windows</w:t>
            </w:r>
            <w:r>
              <w:rPr>
                <w:rFonts w:hint="eastAsia"/>
                <w:sz w:val="24"/>
              </w:rPr>
              <w:t>平台的</w:t>
            </w:r>
            <w:r>
              <w:rPr>
                <w:sz w:val="24"/>
              </w:rPr>
              <w:t>PC</w:t>
            </w:r>
            <w:r>
              <w:rPr>
                <w:rFonts w:hint="eastAsia"/>
                <w:sz w:val="24"/>
              </w:rPr>
              <w:t>机</w:t>
            </w:r>
            <w:r>
              <w:rPr>
                <w:rFonts w:hint="eastAsia" w:ascii="Arial" w:hAnsi="Arial" w:cs="Arial"/>
                <w:sz w:val="24"/>
              </w:rPr>
              <w:t>Window界面仪器控制。</w:t>
            </w:r>
            <w:r>
              <w:rPr>
                <w:rFonts w:hint="eastAsia" w:ascii="Arial" w:hAnsi="Arial" w:cs="Arial"/>
                <w:color w:val="000000" w:themeColor="text1"/>
                <w:sz w:val="24"/>
                <w14:textFill>
                  <w14:solidFill>
                    <w14:schemeClr w14:val="tx1"/>
                  </w14:solidFill>
                </w14:textFill>
              </w:rPr>
              <w:t>可一键输出到院内LIS。</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激光器：固态激光器。</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激光器数量：至少为双激光，包括蓝激光（激发波长</w:t>
            </w:r>
            <w:r>
              <w:rPr>
                <w:sz w:val="24"/>
              </w:rPr>
              <w:t>488nm</w:t>
            </w:r>
            <w:r>
              <w:rPr>
                <w:rFonts w:hint="eastAsia"/>
                <w:sz w:val="24"/>
              </w:rPr>
              <w:t>）和红激光</w:t>
            </w:r>
            <w:r>
              <w:rPr>
                <w:sz w:val="24"/>
              </w:rPr>
              <w:t xml:space="preserve"> </w:t>
            </w:r>
            <w:r>
              <w:rPr>
                <w:rFonts w:hint="eastAsia"/>
                <w:sz w:val="24"/>
              </w:rPr>
              <w:t>（激发波长</w:t>
            </w:r>
            <w:r>
              <w:rPr>
                <w:sz w:val="24"/>
              </w:rPr>
              <w:t>633nm/635nm/638nm/640nm)</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sz w:val="24"/>
              </w:rPr>
              <w:t>激光器功率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488nm</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0mW</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633nm/635nm/638nm/640nm</w:t>
            </w:r>
            <w:r>
              <w:rPr>
                <w:rFonts w:hint="eastAsia"/>
                <w:color w:val="000000" w:themeColor="text1"/>
                <w:sz w:val="24"/>
                <w14:textFill>
                  <w14:solidFill>
                    <w14:schemeClr w14:val="tx1"/>
                  </w14:solidFill>
                </w14:textFill>
              </w:rPr>
              <w:t>≥40</w:t>
            </w:r>
            <w:r>
              <w:rPr>
                <w:color w:val="000000" w:themeColor="text1"/>
                <w:sz w:val="24"/>
                <w14:textFill>
                  <w14:solidFill>
                    <w14:schemeClr w14:val="tx1"/>
                  </w14:solidFill>
                </w14:textFill>
              </w:rPr>
              <w:t xml:space="preserve"> mW</w:t>
            </w:r>
            <w:r>
              <w:rPr>
                <w:rFonts w:hint="eastAsia"/>
                <w:color w:val="000000" w:themeColor="text1"/>
                <w:sz w:val="24"/>
                <w14:textFill>
                  <w14:solidFill>
                    <w14:schemeClr w14:val="tx1"/>
                  </w14:solidFill>
                </w14:textFill>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sz w:val="24"/>
              </w:rPr>
              <w:t>散射光检测器：前向和侧向。</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荧光检测器：经典的</w:t>
            </w:r>
            <w:r>
              <w:rPr>
                <w:sz w:val="24"/>
              </w:rPr>
              <w:t>PMT</w:t>
            </w:r>
            <w:r>
              <w:rPr>
                <w:rFonts w:hint="eastAsia"/>
                <w:sz w:val="24"/>
              </w:rPr>
              <w:t>检测器，四通道。</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检测颗粒范围：</w:t>
            </w:r>
            <w:r>
              <w:rPr>
                <w:sz w:val="24"/>
              </w:rPr>
              <w:t>0.2</w:t>
            </w:r>
            <w:r>
              <w:rPr>
                <w:rFonts w:hint="eastAsia"/>
                <w:sz w:val="24"/>
              </w:rPr>
              <w:t>μ</w:t>
            </w:r>
            <w:r>
              <w:rPr>
                <w:sz w:val="24"/>
              </w:rPr>
              <w:t>m-50</w:t>
            </w:r>
            <w:r>
              <w:rPr>
                <w:rFonts w:hint="eastAsia"/>
                <w:sz w:val="24"/>
              </w:rPr>
              <w:t>μ</w:t>
            </w:r>
            <w:r>
              <w:rPr>
                <w:sz w:val="24"/>
              </w:rPr>
              <w:t>m</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荧光检测灵敏度：</w:t>
            </w:r>
            <w:r>
              <w:rPr>
                <w:sz w:val="24"/>
              </w:rPr>
              <w:t>FITC</w:t>
            </w:r>
            <w:r>
              <w:rPr>
                <w:rFonts w:hint="eastAsia"/>
                <w:sz w:val="24"/>
              </w:rPr>
              <w:t>≤</w:t>
            </w:r>
            <w:r>
              <w:rPr>
                <w:sz w:val="24"/>
              </w:rPr>
              <w:t>100 MESF</w:t>
            </w:r>
            <w:r>
              <w:rPr>
                <w:rFonts w:hint="eastAsia"/>
                <w:sz w:val="24"/>
              </w:rPr>
              <w:t>；</w:t>
            </w:r>
            <w:r>
              <w:rPr>
                <w:sz w:val="24"/>
              </w:rPr>
              <w:t>PE</w:t>
            </w:r>
            <w:r>
              <w:rPr>
                <w:rFonts w:hint="eastAsia"/>
                <w:sz w:val="24"/>
              </w:rPr>
              <w:t>≤</w:t>
            </w:r>
            <w:r>
              <w:rPr>
                <w:sz w:val="24"/>
              </w:rPr>
              <w:t>50 MESF</w:t>
            </w:r>
            <w:r>
              <w:rPr>
                <w:rFonts w:hint="eastAsia"/>
                <w:sz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分析速度：≥30</w:t>
            </w:r>
            <w:r>
              <w:rPr>
                <w:sz w:val="24"/>
              </w:rPr>
              <w:t xml:space="preserve">000 </w:t>
            </w:r>
            <w:r>
              <w:rPr>
                <w:rFonts w:hint="eastAsia"/>
                <w:sz w:val="24"/>
              </w:rPr>
              <w:t>个粒子</w:t>
            </w:r>
            <w:r>
              <w:rPr>
                <w:sz w:val="24"/>
              </w:rPr>
              <w:t>/</w:t>
            </w:r>
            <w:r>
              <w:rPr>
                <w:rFonts w:hint="eastAsia"/>
                <w:sz w:val="24"/>
              </w:rPr>
              <w:t>秒。</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进样方式：负压进样，无气源设计。</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进样体积测定：必须具备，无需微球或计数管实现绝对计数，兼容微球法。</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sz w:val="24"/>
              </w:rPr>
              <w:t>进样体积测定方式：</w:t>
            </w:r>
            <w:r>
              <w:rPr>
                <w:rFonts w:hint="eastAsia"/>
                <w:color w:val="000000" w:themeColor="text1"/>
                <w:sz w:val="24"/>
                <w14:textFill>
                  <w14:solidFill>
                    <w14:schemeClr w14:val="tx1"/>
                  </w14:solidFill>
                </w14:textFill>
              </w:rPr>
              <w:t>采用注射泵或流量传感器测定进样体积，无需校准体积测定，非和蠕动泵方式。</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sz w:val="24"/>
              </w:rPr>
              <w:t>自动进样器：32管或以上</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鞘液桶：外置式，可实时检测余量，自动提示更换。</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携带污染率≤</w:t>
            </w:r>
            <w:r>
              <w:rPr>
                <w:sz w:val="24"/>
              </w:rPr>
              <w:t>0.1%</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ascii="Arial" w:hAnsi="Arial" w:cs="Arial"/>
                <w:sz w:val="24"/>
              </w:rPr>
              <w:t>全峰宽变异系数：</w:t>
            </w:r>
            <w:r>
              <w:rPr>
                <w:rFonts w:ascii="Arial" w:hAnsi="Arial" w:cs="Arial"/>
                <w:sz w:val="24"/>
              </w:rPr>
              <w:t>CV&lt;2%</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软件功能：能实现所有流式数据（包括信号的线性、对数和峰值信息等）的采集，能精确识别粘连细胞。</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自动电压调节：必须具备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自动荧光补偿：可直接拖拽散点图上的区间进行全矩阵荧光信号补偿，可进行实时补偿和离线补偿，无需繁琐的滚动条移动</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sz w:val="24"/>
              </w:rPr>
              <w:t>2</w:t>
            </w:r>
            <w:r>
              <w:rPr>
                <w:rFonts w:hint="eastAsia"/>
                <w:sz w:val="24"/>
              </w:rPr>
              <w:t>淋巴细胞亚群测试：软件集成自动算法，上样后无需设门、电压和补偿调节完成</w:t>
            </w:r>
            <w:r>
              <w:rPr>
                <w:sz w:val="24"/>
              </w:rPr>
              <w:t>T,B,NK,T4</w:t>
            </w:r>
            <w:r>
              <w:rPr>
                <w:rFonts w:hint="eastAsia"/>
                <w:sz w:val="24"/>
              </w:rPr>
              <w:t>，</w:t>
            </w:r>
            <w:r>
              <w:rPr>
                <w:sz w:val="24"/>
              </w:rPr>
              <w:t>T8</w:t>
            </w:r>
            <w:r>
              <w:rPr>
                <w:rFonts w:hint="eastAsia"/>
                <w:sz w:val="24"/>
              </w:rPr>
              <w:t>等细胞分群和绝对计数，具备原厂获得</w:t>
            </w:r>
            <w:r>
              <w:rPr>
                <w:sz w:val="24"/>
              </w:rPr>
              <w:t>CFDA</w:t>
            </w:r>
            <w:r>
              <w:rPr>
                <w:rFonts w:hint="eastAsia"/>
                <w:sz w:val="24"/>
              </w:rPr>
              <w:t>注册证的试剂盒。</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sz w:val="24"/>
              </w:rPr>
              <w:t>兼容试剂：试剂开放，除常规的</w:t>
            </w:r>
            <w:r>
              <w:rPr>
                <w:sz w:val="24"/>
              </w:rPr>
              <w:t>FITC,PE,APC</w:t>
            </w:r>
            <w:r>
              <w:rPr>
                <w:rFonts w:hint="eastAsia"/>
                <w:sz w:val="24"/>
              </w:rPr>
              <w:t>通道外，可实现</w:t>
            </w:r>
            <w:r>
              <w:rPr>
                <w:sz w:val="24"/>
              </w:rPr>
              <w:t>PerCP</w:t>
            </w:r>
            <w:r>
              <w:rPr>
                <w:rFonts w:hint="eastAsia"/>
                <w:sz w:val="24"/>
              </w:rPr>
              <w:t>和</w:t>
            </w:r>
            <w:r>
              <w:rPr>
                <w:sz w:val="24"/>
              </w:rPr>
              <w:t>ECD</w:t>
            </w:r>
            <w:r>
              <w:rPr>
                <w:rFonts w:hint="eastAsia"/>
                <w:sz w:val="24"/>
              </w:rPr>
              <w:t>通道的</w:t>
            </w:r>
            <w:r>
              <w:rPr>
                <w:rFonts w:hint="eastAsia"/>
                <w:color w:val="000000" w:themeColor="text1"/>
                <w:sz w:val="24"/>
                <w14:textFill>
                  <w14:solidFill>
                    <w14:schemeClr w14:val="tx1"/>
                  </w14:solidFill>
                </w14:textFill>
              </w:rPr>
              <w:t>升级</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sz w:val="24"/>
              </w:rPr>
              <w:t>基本配置：流式细胞仪主机，含双激光，两个散射光检测器，四个荧光检测器，操作软件和电脑</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20" w:lineRule="exact"/>
              <w:rPr>
                <w:rFonts w:ascii="仿宋" w:hAnsi="仿宋" w:eastAsia="仿宋"/>
                <w:szCs w:val="21"/>
              </w:rPr>
            </w:pPr>
            <w:r>
              <w:rPr>
                <w:rFonts w:hint="eastAsia"/>
                <w:b/>
                <w:bCs/>
                <w:sz w:val="24"/>
              </w:rPr>
              <w:t>三、试剂主要指标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检测平台：试剂兼容流式细胞仪器和荧光显微镜检测。</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检测时长：样本流式方法前处理时间</w:t>
            </w:r>
            <w:r>
              <w:rPr>
                <w:rFonts w:ascii="宋体" w:hAnsi="宋体"/>
                <w:sz w:val="24"/>
              </w:rPr>
              <w:t xml:space="preserve">≤ </w:t>
            </w:r>
            <w:r>
              <w:rPr>
                <w:rFonts w:hint="eastAsia" w:ascii="宋体" w:hAnsi="宋体"/>
                <w:sz w:val="24"/>
              </w:rPr>
              <w:t>3</w:t>
            </w:r>
            <w:r>
              <w:rPr>
                <w:rFonts w:ascii="宋体" w:hAnsi="宋体"/>
                <w:sz w:val="24"/>
              </w:rPr>
              <w:t>分钟</w:t>
            </w:r>
            <w:r>
              <w:rPr>
                <w:rFonts w:hint="eastAsia" w:ascii="宋体" w:hAnsi="宋体"/>
                <w:sz w:val="24"/>
              </w:rPr>
              <w:t>；荧光显微镜方法前处理时间</w:t>
            </w:r>
            <w:r>
              <w:rPr>
                <w:rFonts w:ascii="宋体" w:hAnsi="宋体"/>
                <w:sz w:val="24"/>
              </w:rPr>
              <w:t>≤ 10分钟</w:t>
            </w:r>
            <w:r>
              <w:rPr>
                <w:rFonts w:hint="eastAsia" w:ascii="宋体" w:hAnsi="宋体"/>
                <w:sz w:val="24"/>
              </w:rPr>
              <w:t>；上机检测</w:t>
            </w:r>
            <w:r>
              <w:rPr>
                <w:rFonts w:ascii="宋体" w:hAnsi="宋体"/>
                <w:sz w:val="24"/>
              </w:rPr>
              <w:t>出结果时间≤2分钟</w:t>
            </w:r>
            <w:r>
              <w:rPr>
                <w:rFonts w:hint="eastAsia" w:ascii="宋体" w:hAnsi="宋体"/>
                <w:sz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批间差：pH 值检测变异系数 CV≤</w:t>
            </w:r>
            <w:r>
              <w:rPr>
                <w:rFonts w:ascii="宋体" w:hAnsi="宋体"/>
                <w:sz w:val="24"/>
              </w:rPr>
              <w:t>10</w:t>
            </w:r>
            <w:r>
              <w:rPr>
                <w:rFonts w:hint="eastAsia" w:ascii="宋体" w:hAnsi="宋体"/>
                <w:sz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稀释</w:t>
            </w:r>
            <w:r>
              <w:rPr>
                <w:rFonts w:ascii="宋体" w:hAnsi="宋体"/>
                <w:sz w:val="24"/>
              </w:rPr>
              <w:t>线性范围：</w:t>
            </w:r>
            <w:r>
              <w:rPr>
                <w:rFonts w:hint="eastAsia" w:ascii="宋体" w:hAnsi="宋体"/>
                <w:sz w:val="24"/>
              </w:rPr>
              <w:t>[</w:t>
            </w:r>
            <w:r>
              <w:rPr>
                <w:rFonts w:ascii="宋体" w:hAnsi="宋体"/>
                <w:sz w:val="24"/>
              </w:rPr>
              <w:t>1</w:t>
            </w:r>
            <w:r>
              <w:rPr>
                <w:rFonts w:hint="eastAsia" w:ascii="宋体" w:hAnsi="宋体"/>
                <w:sz w:val="24"/>
              </w:rPr>
              <w:t>×10</w:t>
            </w:r>
            <w:r>
              <w:rPr>
                <w:rFonts w:hint="eastAsia" w:ascii="宋体" w:hAnsi="宋体"/>
                <w:sz w:val="24"/>
                <w:vertAlign w:val="superscript"/>
              </w:rPr>
              <w:t>6</w:t>
            </w:r>
            <w:r>
              <w:rPr>
                <w:rFonts w:hint="eastAsia" w:ascii="宋体" w:hAnsi="宋体"/>
                <w:sz w:val="24"/>
              </w:rPr>
              <w:t>―</w:t>
            </w:r>
            <w:r>
              <w:rPr>
                <w:rFonts w:ascii="宋体" w:hAnsi="宋体"/>
                <w:sz w:val="24"/>
              </w:rPr>
              <w:t>2</w:t>
            </w:r>
            <w:r>
              <w:rPr>
                <w:rFonts w:hint="eastAsia" w:ascii="宋体" w:hAnsi="宋体"/>
                <w:sz w:val="24"/>
              </w:rPr>
              <w:t>×10</w:t>
            </w:r>
            <w:r>
              <w:rPr>
                <w:rFonts w:hint="eastAsia" w:ascii="宋体" w:hAnsi="宋体"/>
                <w:sz w:val="24"/>
                <w:vertAlign w:val="superscript"/>
              </w:rPr>
              <w:t>6</w:t>
            </w:r>
            <w:r>
              <w:rPr>
                <w:rFonts w:hint="eastAsia" w:ascii="宋体" w:hAnsi="宋体"/>
                <w:sz w:val="24"/>
              </w:rPr>
              <w:t>]个精子/mL。</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00" w:lineRule="auto"/>
              <w:jc w:val="left"/>
              <w:rPr>
                <w:rFonts w:hint="eastAsia" w:ascii="宋体" w:hAnsi="宋体" w:eastAsia="宋体" w:cs="宋体"/>
                <w:kern w:val="2"/>
                <w:sz w:val="24"/>
                <w:szCs w:val="24"/>
                <w:lang w:val="en-US" w:eastAsia="zh-CN" w:bidi="ar-SA"/>
              </w:rPr>
            </w:pPr>
            <w:r>
              <w:rPr>
                <w:rFonts w:ascii="宋体" w:hAnsi="宋体"/>
                <w:sz w:val="24"/>
              </w:rPr>
              <w:t>准确度：</w:t>
            </w:r>
            <w:r>
              <w:rPr>
                <w:rFonts w:hint="eastAsia" w:ascii="宋体" w:hAnsi="宋体"/>
                <w:sz w:val="24"/>
              </w:rPr>
              <w:t>流式检测需提供D</w:t>
            </w:r>
            <w:r>
              <w:rPr>
                <w:rFonts w:ascii="宋体" w:hAnsi="宋体"/>
                <w:sz w:val="24"/>
              </w:rPr>
              <w:t>FI</w:t>
            </w:r>
            <w:r>
              <w:rPr>
                <w:rFonts w:hint="eastAsia" w:ascii="宋体" w:hAnsi="宋体"/>
                <w:sz w:val="24"/>
              </w:rPr>
              <w:t>实验的相应质控品，以确保仪器运行稳定。试剂需要提供室内质控方案，确保检测稳定性。必要时厂家工程师可以定期质控指导。</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00" w:lineRule="auto"/>
              <w:jc w:val="left"/>
              <w:rPr>
                <w:rFonts w:hint="eastAsia" w:ascii="宋体" w:hAnsi="宋体" w:eastAsia="宋体" w:cs="宋体"/>
                <w:kern w:val="2"/>
                <w:sz w:val="24"/>
                <w:szCs w:val="24"/>
                <w:lang w:val="en-US" w:eastAsia="zh-CN" w:bidi="ar-SA"/>
              </w:rPr>
            </w:pPr>
            <w:r>
              <w:rPr>
                <w:rFonts w:hint="eastAsia" w:ascii="宋体" w:hAnsi="宋体"/>
                <w:sz w:val="24"/>
              </w:rPr>
              <w:t>染色稳定性：样品染色完成后，测试染色结果， 2-8℃储存 40 分钟， 重复检测，前后两次检测的结果变化相对偏差应不大于1</w:t>
            </w:r>
            <w:r>
              <w:rPr>
                <w:rFonts w:ascii="宋体" w:hAnsi="宋体"/>
                <w:sz w:val="24"/>
              </w:rPr>
              <w:t>0</w:t>
            </w:r>
            <w:r>
              <w:rPr>
                <w:rFonts w:hint="eastAsia" w:ascii="宋体" w:hAnsi="宋体"/>
                <w:sz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稳定性：</w:t>
            </w:r>
            <w:r>
              <w:rPr>
                <w:rFonts w:ascii="宋体" w:hAnsi="宋体"/>
                <w:sz w:val="24"/>
              </w:rPr>
              <w:t>2-8℃下，原包装存放的试剂有效期为12个月</w:t>
            </w:r>
            <w:r>
              <w:rPr>
                <w:rFonts w:hint="eastAsia" w:ascii="宋体" w:hAnsi="宋体"/>
                <w:sz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试剂盒需要有产品注册证.</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检测结果分析：有结果自动分析系统。能够提供本实验室仪器设备配套相应的自动分析报告系统，应包括但不限于：数据采集、失控提醒、数据查询、失控记录等基本功能。</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配套软件技术指标</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可安装在任意电脑上，图像和结果可以拖曳至</w:t>
            </w:r>
            <w:r>
              <w:rPr>
                <w:rFonts w:ascii="宋体" w:hAnsi="宋体"/>
                <w:sz w:val="24"/>
              </w:rPr>
              <w:t>Office</w:t>
            </w:r>
            <w:r>
              <w:rPr>
                <w:rFonts w:hint="eastAsia" w:ascii="宋体" w:hAnsi="宋体"/>
                <w:sz w:val="24"/>
              </w:rPr>
              <w:t>软件，数据支持</w:t>
            </w:r>
            <w:r>
              <w:rPr>
                <w:rFonts w:ascii="宋体" w:hAnsi="宋体"/>
                <w:sz w:val="24"/>
              </w:rPr>
              <w:t>FCS3.0</w:t>
            </w:r>
            <w:r>
              <w:rPr>
                <w:rFonts w:hint="eastAsia" w:ascii="宋体" w:hAnsi="宋体"/>
                <w:sz w:val="24"/>
              </w:rPr>
              <w:t>格式，并支持彩色数据显示。</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tcPr>
          <w:p>
            <w:pPr>
              <w:spacing w:line="300" w:lineRule="auto"/>
              <w:jc w:val="left"/>
              <w:rPr>
                <w:rFonts w:ascii="仿宋" w:hAnsi="仿宋" w:eastAsia="仿宋"/>
                <w:szCs w:val="21"/>
              </w:rPr>
            </w:pPr>
            <w:r>
              <w:rPr>
                <w:rFonts w:hint="eastAsia" w:ascii="宋体" w:hAnsi="宋体"/>
                <w:sz w:val="24"/>
              </w:rPr>
              <w:t>可以从流式结果转换成精子D</w:t>
            </w:r>
            <w:r>
              <w:rPr>
                <w:rFonts w:ascii="宋体" w:hAnsi="宋体"/>
                <w:sz w:val="24"/>
              </w:rPr>
              <w:t>NA</w:t>
            </w:r>
            <w:r>
              <w:rPr>
                <w:rFonts w:hint="eastAsia" w:ascii="宋体" w:hAnsi="宋体"/>
                <w:sz w:val="24"/>
              </w:rPr>
              <w:t>碎片指数检测报告的分析软件，方便医院出检测报告单。</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spacing w:line="300" w:lineRule="auto"/>
              <w:jc w:val="left"/>
              <w:rPr>
                <w:rFonts w:hint="eastAsia" w:ascii="宋体" w:hAnsi="宋体" w:eastAsia="宋体" w:cs="宋体"/>
                <w:kern w:val="2"/>
                <w:sz w:val="24"/>
                <w:szCs w:val="24"/>
                <w:lang w:val="en-US" w:eastAsia="zh-CN" w:bidi="ar-SA"/>
              </w:rPr>
            </w:pPr>
            <w:r>
              <w:rPr>
                <w:rFonts w:hint="eastAsia" w:ascii="宋体" w:hAnsi="宋体"/>
                <w:sz w:val="24"/>
              </w:rPr>
              <w:t>产品质量体系可靠性验证：试剂供应厂商能够出具权威性第三方机构（中华医学会男科学分会/中国性学会）出具的证明文件，产品稳定可靠。</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hint="eastAsia" w:ascii="宋体" w:hAnsi="宋体"/>
                <w:sz w:val="24"/>
                <w:szCs w:val="24"/>
              </w:rPr>
              <w:t>质保要求：整机免费保修叁年（含所有零部件，包括须定期更换零部件）。</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3" w:type="dxa"/>
          </w:tcPr>
          <w:p>
            <w:pPr>
              <w:numPr>
                <w:ilvl w:val="0"/>
                <w:numId w:val="1"/>
              </w:numPr>
              <w:spacing w:line="320" w:lineRule="exact"/>
              <w:ind w:left="425" w:leftChars="0" w:hanging="425" w:firstLineChars="0"/>
              <w:rPr>
                <w:rFonts w:ascii="仿宋" w:hAnsi="仿宋" w:eastAsia="仿宋"/>
                <w:szCs w:val="21"/>
              </w:rPr>
            </w:pPr>
          </w:p>
        </w:tc>
        <w:tc>
          <w:tcPr>
            <w:tcW w:w="671" w:type="dxa"/>
          </w:tcPr>
          <w:p>
            <w:pPr>
              <w:spacing w:line="320" w:lineRule="exact"/>
              <w:rPr>
                <w:rFonts w:ascii="仿宋" w:hAnsi="仿宋" w:eastAsia="仿宋"/>
                <w:szCs w:val="21"/>
              </w:rPr>
            </w:pPr>
          </w:p>
        </w:tc>
        <w:tc>
          <w:tcPr>
            <w:tcW w:w="6158" w:type="dxa"/>
            <w:vAlign w:val="center"/>
          </w:tcPr>
          <w:p>
            <w:pPr>
              <w:adjustRightInd w:val="0"/>
              <w:snapToGrid w:val="0"/>
              <w:rPr>
                <w:rFonts w:hint="eastAsia" w:ascii="宋体" w:hAnsi="宋体" w:eastAsia="宋体" w:cs="宋体"/>
                <w:kern w:val="2"/>
                <w:sz w:val="24"/>
                <w:szCs w:val="24"/>
                <w:lang w:val="en-US" w:eastAsia="zh-CN" w:bidi="ar-SA"/>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524"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E7F5B"/>
    <w:multiLevelType w:val="singleLevel"/>
    <w:tmpl w:val="19CE7F5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348B4"/>
    <w:rsid w:val="0153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2021-06-16T02:23:00Z</dcterms:created>
  <dc:creator>今晚打老虎จุ๊บ</dc:creator>
  <cp:lastModifiedBy>今晚打老虎จุ๊บ</cp:lastModifiedBy>
  <dcterms:modified xsi:type="dcterms:W3CDTF">2021-06-16T02:26:35Z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7D413DA095CE4A21AAF503820EA2E035</vt:lpwstr>
  </property>
</Properties>
</file>