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b/>
          <w:bCs/>
          <w:sz w:val="32"/>
          <w:szCs w:val="32"/>
          <w:u w:val="single"/>
        </w:rPr>
        <w:t>插件式监护仪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33"/>
        <w:gridCol w:w="445"/>
        <w:gridCol w:w="7571"/>
        <w:gridCol w:w="434"/>
        <w:gridCol w:w="485"/>
        <w:gridCol w:w="6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62"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449"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608"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712"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7"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483"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7332"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449" w:type="dxa"/>
            <w:vMerge w:val="continue"/>
          </w:tcPr>
          <w:p>
            <w:pPr>
              <w:spacing w:line="320" w:lineRule="exact"/>
              <w:rPr>
                <w:rFonts w:ascii="仿宋" w:hAnsi="仿宋" w:eastAsia="仿宋"/>
                <w:szCs w:val="21"/>
              </w:rPr>
            </w:pPr>
          </w:p>
        </w:tc>
        <w:tc>
          <w:tcPr>
            <w:tcW w:w="608" w:type="dxa"/>
            <w:vMerge w:val="continue"/>
          </w:tcPr>
          <w:p>
            <w:pPr>
              <w:spacing w:line="320" w:lineRule="exact"/>
              <w:rPr>
                <w:rFonts w:ascii="仿宋" w:hAnsi="仿宋" w:eastAsia="仿宋"/>
                <w:szCs w:val="21"/>
              </w:rPr>
            </w:pPr>
          </w:p>
        </w:tc>
        <w:tc>
          <w:tcPr>
            <w:tcW w:w="712"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7" w:type="dxa"/>
          </w:tcPr>
          <w:p>
            <w:pPr>
              <w:numPr>
                <w:ilvl w:val="0"/>
                <w:numId w:val="2"/>
              </w:numPr>
              <w:spacing w:line="320" w:lineRule="exact"/>
              <w:ind w:left="425" w:leftChars="0" w:hanging="425" w:firstLineChars="0"/>
              <w:rPr>
                <w:rFonts w:ascii="仿宋" w:hAnsi="仿宋" w:eastAsia="仿宋"/>
                <w:szCs w:val="21"/>
              </w:rPr>
            </w:pPr>
          </w:p>
        </w:tc>
        <w:tc>
          <w:tcPr>
            <w:tcW w:w="483" w:type="dxa"/>
          </w:tcPr>
          <w:p>
            <w:pPr>
              <w:spacing w:line="320" w:lineRule="exact"/>
              <w:rPr>
                <w:rFonts w:ascii="仿宋" w:hAnsi="仿宋" w:eastAsia="仿宋"/>
                <w:szCs w:val="21"/>
              </w:rPr>
            </w:pPr>
          </w:p>
        </w:tc>
        <w:tc>
          <w:tcPr>
            <w:tcW w:w="7332" w:type="dxa"/>
          </w:tcPr>
          <w:p>
            <w:pPr>
              <w:spacing w:line="276" w:lineRule="auto"/>
              <w:rPr>
                <w:rFonts w:ascii="仿宋" w:hAnsi="仿宋" w:eastAsia="仿宋"/>
                <w:szCs w:val="21"/>
              </w:rPr>
            </w:pPr>
            <w:r>
              <w:rPr>
                <w:rFonts w:hint="eastAsia" w:ascii="宋体" w:hAnsi="宋体"/>
                <w:bCs/>
                <w:szCs w:val="21"/>
              </w:rPr>
              <w:t>模块化、插件式监护仪，主机集成不少于4个模块插槽，可外接插槽辅箱，方便选配升级各参数模块；</w:t>
            </w:r>
          </w:p>
        </w:tc>
        <w:tc>
          <w:tcPr>
            <w:tcW w:w="449" w:type="dxa"/>
          </w:tcPr>
          <w:p>
            <w:pPr>
              <w:spacing w:line="320" w:lineRule="exact"/>
              <w:rPr>
                <w:rFonts w:ascii="仿宋" w:hAnsi="仿宋" w:eastAsia="仿宋"/>
                <w:szCs w:val="21"/>
              </w:rPr>
            </w:pPr>
          </w:p>
        </w:tc>
        <w:tc>
          <w:tcPr>
            <w:tcW w:w="608" w:type="dxa"/>
          </w:tcPr>
          <w:p>
            <w:pPr>
              <w:spacing w:line="320" w:lineRule="exact"/>
              <w:rPr>
                <w:rFonts w:ascii="仿宋" w:hAnsi="仿宋" w:eastAsia="仿宋"/>
                <w:szCs w:val="21"/>
              </w:rPr>
            </w:pPr>
          </w:p>
        </w:tc>
        <w:tc>
          <w:tcPr>
            <w:tcW w:w="71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7" w:type="dxa"/>
          </w:tcPr>
          <w:p>
            <w:pPr>
              <w:numPr>
                <w:ilvl w:val="0"/>
                <w:numId w:val="2"/>
              </w:numPr>
              <w:spacing w:line="320" w:lineRule="exact"/>
              <w:ind w:left="425" w:leftChars="0" w:hanging="425" w:firstLineChars="0"/>
              <w:rPr>
                <w:rFonts w:ascii="仿宋" w:hAnsi="仿宋" w:eastAsia="仿宋"/>
                <w:szCs w:val="21"/>
              </w:rPr>
            </w:pPr>
          </w:p>
        </w:tc>
        <w:tc>
          <w:tcPr>
            <w:tcW w:w="483" w:type="dxa"/>
          </w:tcPr>
          <w:p>
            <w:pPr>
              <w:spacing w:line="320" w:lineRule="exact"/>
              <w:rPr>
                <w:rFonts w:ascii="仿宋" w:hAnsi="仿宋" w:eastAsia="仿宋"/>
                <w:szCs w:val="21"/>
              </w:rPr>
            </w:pPr>
          </w:p>
        </w:tc>
        <w:tc>
          <w:tcPr>
            <w:tcW w:w="7332" w:type="dxa"/>
            <w:vAlign w:val="top"/>
          </w:tcPr>
          <w:p>
            <w:pPr>
              <w:spacing w:line="276" w:lineRule="auto"/>
              <w:jc w:val="left"/>
              <w:rPr>
                <w:rFonts w:ascii="仿宋" w:hAnsi="仿宋" w:eastAsia="仿宋"/>
                <w:szCs w:val="21"/>
              </w:rPr>
            </w:pPr>
            <w:r>
              <w:rPr>
                <w:rFonts w:hint="eastAsia" w:ascii="宋体" w:hAnsi="宋体"/>
                <w:bCs/>
                <w:szCs w:val="21"/>
              </w:rPr>
              <w:t>基本参数模块：3/5/12导心电（ECG）、呼吸(RESP)、无创血压(NIBP)、血氧饱和度(SpO2)、脉搏(PR)、双通道体温(TEMP) 、有创血压(IBP)；</w:t>
            </w:r>
          </w:p>
        </w:tc>
        <w:tc>
          <w:tcPr>
            <w:tcW w:w="449" w:type="dxa"/>
          </w:tcPr>
          <w:p>
            <w:pPr>
              <w:spacing w:line="320" w:lineRule="exact"/>
              <w:rPr>
                <w:rFonts w:ascii="仿宋" w:hAnsi="仿宋" w:eastAsia="仿宋"/>
                <w:szCs w:val="21"/>
              </w:rPr>
            </w:pPr>
          </w:p>
        </w:tc>
        <w:tc>
          <w:tcPr>
            <w:tcW w:w="608" w:type="dxa"/>
          </w:tcPr>
          <w:p>
            <w:pPr>
              <w:spacing w:line="320" w:lineRule="exact"/>
              <w:rPr>
                <w:rFonts w:ascii="仿宋" w:hAnsi="仿宋" w:eastAsia="仿宋"/>
                <w:szCs w:val="21"/>
              </w:rPr>
            </w:pPr>
          </w:p>
        </w:tc>
        <w:tc>
          <w:tcPr>
            <w:tcW w:w="71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7" w:type="dxa"/>
          </w:tcPr>
          <w:p>
            <w:pPr>
              <w:numPr>
                <w:ilvl w:val="0"/>
                <w:numId w:val="2"/>
              </w:numPr>
              <w:spacing w:line="320" w:lineRule="exact"/>
              <w:ind w:left="425" w:leftChars="0" w:hanging="425" w:firstLineChars="0"/>
              <w:rPr>
                <w:rFonts w:ascii="仿宋" w:hAnsi="仿宋" w:eastAsia="仿宋"/>
                <w:szCs w:val="21"/>
              </w:rPr>
            </w:pPr>
            <w:bookmarkStart w:id="0" w:name="_GoBack"/>
            <w:bookmarkEnd w:id="0"/>
          </w:p>
        </w:tc>
        <w:tc>
          <w:tcPr>
            <w:tcW w:w="483" w:type="dxa"/>
          </w:tcPr>
          <w:p>
            <w:pPr>
              <w:spacing w:line="320" w:lineRule="exact"/>
              <w:rPr>
                <w:rFonts w:ascii="仿宋" w:hAnsi="仿宋" w:eastAsia="仿宋"/>
                <w:szCs w:val="21"/>
              </w:rPr>
            </w:pPr>
          </w:p>
        </w:tc>
        <w:tc>
          <w:tcPr>
            <w:tcW w:w="7332" w:type="dxa"/>
          </w:tcPr>
          <w:p>
            <w:pPr>
              <w:spacing w:line="276" w:lineRule="auto"/>
              <w:rPr>
                <w:rFonts w:ascii="仿宋" w:hAnsi="仿宋" w:eastAsia="仿宋"/>
                <w:szCs w:val="21"/>
              </w:rPr>
            </w:pPr>
            <w:r>
              <w:rPr>
                <w:rFonts w:hint="eastAsia" w:ascii="宋体" w:hAnsi="宋体"/>
                <w:bCs/>
                <w:szCs w:val="21"/>
              </w:rPr>
              <w:t>屏幕尺寸：≧15英寸大屏幕彩色触摸屏，具备锁屏功能，防止外界干扰影响监护仪的工作状态；</w:t>
            </w:r>
          </w:p>
        </w:tc>
        <w:tc>
          <w:tcPr>
            <w:tcW w:w="449" w:type="dxa"/>
          </w:tcPr>
          <w:p>
            <w:pPr>
              <w:spacing w:line="320" w:lineRule="exact"/>
              <w:rPr>
                <w:rFonts w:ascii="仿宋" w:hAnsi="仿宋" w:eastAsia="仿宋"/>
                <w:szCs w:val="21"/>
              </w:rPr>
            </w:pPr>
          </w:p>
        </w:tc>
        <w:tc>
          <w:tcPr>
            <w:tcW w:w="608" w:type="dxa"/>
          </w:tcPr>
          <w:p>
            <w:pPr>
              <w:spacing w:line="320" w:lineRule="exact"/>
              <w:rPr>
                <w:rFonts w:ascii="仿宋" w:hAnsi="仿宋" w:eastAsia="仿宋"/>
                <w:szCs w:val="21"/>
              </w:rPr>
            </w:pPr>
          </w:p>
        </w:tc>
        <w:tc>
          <w:tcPr>
            <w:tcW w:w="71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7" w:type="dxa"/>
          </w:tcPr>
          <w:p>
            <w:pPr>
              <w:numPr>
                <w:ilvl w:val="0"/>
                <w:numId w:val="2"/>
              </w:numPr>
              <w:spacing w:line="320" w:lineRule="exact"/>
              <w:ind w:left="425" w:leftChars="0" w:hanging="425" w:firstLineChars="0"/>
              <w:rPr>
                <w:rFonts w:ascii="仿宋" w:hAnsi="仿宋" w:eastAsia="仿宋"/>
                <w:szCs w:val="21"/>
              </w:rPr>
            </w:pPr>
          </w:p>
        </w:tc>
        <w:tc>
          <w:tcPr>
            <w:tcW w:w="483" w:type="dxa"/>
          </w:tcPr>
          <w:p>
            <w:pPr>
              <w:spacing w:line="320" w:lineRule="exact"/>
              <w:rPr>
                <w:rFonts w:ascii="仿宋" w:hAnsi="仿宋" w:eastAsia="仿宋"/>
                <w:szCs w:val="21"/>
              </w:rPr>
            </w:pPr>
          </w:p>
        </w:tc>
        <w:tc>
          <w:tcPr>
            <w:tcW w:w="7332" w:type="dxa"/>
          </w:tcPr>
          <w:p>
            <w:pPr>
              <w:spacing w:line="276" w:lineRule="auto"/>
              <w:rPr>
                <w:rFonts w:ascii="仿宋" w:hAnsi="仿宋" w:eastAsia="仿宋"/>
                <w:szCs w:val="21"/>
              </w:rPr>
            </w:pPr>
            <w:r>
              <w:rPr>
                <w:rFonts w:hint="eastAsia" w:ascii="宋体" w:hAnsi="宋体"/>
                <w:bCs/>
                <w:szCs w:val="21"/>
              </w:rPr>
              <w:t>支持同屏显示13道波形（提供证明材料）</w:t>
            </w:r>
          </w:p>
        </w:tc>
        <w:tc>
          <w:tcPr>
            <w:tcW w:w="449" w:type="dxa"/>
          </w:tcPr>
          <w:p>
            <w:pPr>
              <w:spacing w:line="320" w:lineRule="exact"/>
              <w:rPr>
                <w:rFonts w:ascii="仿宋" w:hAnsi="仿宋" w:eastAsia="仿宋"/>
                <w:szCs w:val="21"/>
              </w:rPr>
            </w:pPr>
          </w:p>
        </w:tc>
        <w:tc>
          <w:tcPr>
            <w:tcW w:w="608" w:type="dxa"/>
          </w:tcPr>
          <w:p>
            <w:pPr>
              <w:spacing w:line="320" w:lineRule="exact"/>
              <w:rPr>
                <w:rFonts w:ascii="仿宋" w:hAnsi="仿宋" w:eastAsia="仿宋"/>
                <w:szCs w:val="21"/>
              </w:rPr>
            </w:pPr>
          </w:p>
        </w:tc>
        <w:tc>
          <w:tcPr>
            <w:tcW w:w="71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7" w:type="dxa"/>
          </w:tcPr>
          <w:p>
            <w:pPr>
              <w:numPr>
                <w:ilvl w:val="0"/>
                <w:numId w:val="2"/>
              </w:numPr>
              <w:spacing w:line="320" w:lineRule="exact"/>
              <w:ind w:left="425" w:leftChars="0" w:hanging="425" w:firstLineChars="0"/>
              <w:rPr>
                <w:rFonts w:ascii="仿宋" w:hAnsi="仿宋" w:eastAsia="仿宋"/>
                <w:szCs w:val="21"/>
              </w:rPr>
            </w:pPr>
          </w:p>
        </w:tc>
        <w:tc>
          <w:tcPr>
            <w:tcW w:w="483" w:type="dxa"/>
          </w:tcPr>
          <w:p>
            <w:pPr>
              <w:spacing w:line="320" w:lineRule="exact"/>
              <w:rPr>
                <w:rFonts w:ascii="仿宋" w:hAnsi="仿宋" w:eastAsia="仿宋"/>
                <w:szCs w:val="21"/>
              </w:rPr>
            </w:pPr>
          </w:p>
        </w:tc>
        <w:tc>
          <w:tcPr>
            <w:tcW w:w="7332" w:type="dxa"/>
          </w:tcPr>
          <w:p>
            <w:pPr>
              <w:spacing w:line="276" w:lineRule="auto"/>
              <w:rPr>
                <w:rFonts w:ascii="仿宋" w:hAnsi="仿宋" w:eastAsia="仿宋"/>
                <w:szCs w:val="21"/>
              </w:rPr>
            </w:pPr>
            <w:r>
              <w:rPr>
                <w:rFonts w:hint="eastAsia" w:ascii="宋体" w:hAnsi="宋体"/>
                <w:bCs/>
                <w:szCs w:val="21"/>
              </w:rPr>
              <w:t>具有呼吸氧合图观察界面，同步显示心率、呼吸、血氧饱和度参数，准确反映患者三个参数间的关联反应，帮助医生准确作出判断</w:t>
            </w:r>
          </w:p>
        </w:tc>
        <w:tc>
          <w:tcPr>
            <w:tcW w:w="449" w:type="dxa"/>
          </w:tcPr>
          <w:p>
            <w:pPr>
              <w:spacing w:line="320" w:lineRule="exact"/>
              <w:rPr>
                <w:rFonts w:ascii="仿宋" w:hAnsi="仿宋" w:eastAsia="仿宋"/>
                <w:szCs w:val="21"/>
              </w:rPr>
            </w:pPr>
          </w:p>
        </w:tc>
        <w:tc>
          <w:tcPr>
            <w:tcW w:w="608" w:type="dxa"/>
          </w:tcPr>
          <w:p>
            <w:pPr>
              <w:spacing w:line="320" w:lineRule="exact"/>
              <w:rPr>
                <w:rFonts w:ascii="仿宋" w:hAnsi="仿宋" w:eastAsia="仿宋"/>
                <w:szCs w:val="21"/>
              </w:rPr>
            </w:pPr>
          </w:p>
        </w:tc>
        <w:tc>
          <w:tcPr>
            <w:tcW w:w="71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7" w:type="dxa"/>
          </w:tcPr>
          <w:p>
            <w:pPr>
              <w:numPr>
                <w:ilvl w:val="0"/>
                <w:numId w:val="2"/>
              </w:numPr>
              <w:spacing w:line="320" w:lineRule="exact"/>
              <w:ind w:left="425" w:leftChars="0" w:hanging="425" w:firstLineChars="0"/>
              <w:rPr>
                <w:rFonts w:ascii="仿宋" w:hAnsi="仿宋" w:eastAsia="仿宋"/>
                <w:szCs w:val="21"/>
              </w:rPr>
            </w:pPr>
          </w:p>
        </w:tc>
        <w:tc>
          <w:tcPr>
            <w:tcW w:w="483" w:type="dxa"/>
          </w:tcPr>
          <w:p>
            <w:pPr>
              <w:spacing w:line="320" w:lineRule="exact"/>
              <w:rPr>
                <w:rFonts w:ascii="仿宋" w:hAnsi="仿宋" w:eastAsia="仿宋"/>
                <w:szCs w:val="21"/>
              </w:rPr>
            </w:pPr>
          </w:p>
        </w:tc>
        <w:tc>
          <w:tcPr>
            <w:tcW w:w="7332" w:type="dxa"/>
            <w:vAlign w:val="center"/>
          </w:tcPr>
          <w:p>
            <w:pPr>
              <w:adjustRightInd w:val="0"/>
              <w:snapToGrid w:val="0"/>
              <w:spacing w:line="276" w:lineRule="auto"/>
              <w:rPr>
                <w:rFonts w:hint="eastAsia" w:ascii="宋体" w:hAnsi="宋体" w:eastAsia="宋体" w:cs="宋体"/>
                <w:kern w:val="2"/>
                <w:sz w:val="24"/>
                <w:szCs w:val="24"/>
                <w:lang w:val="en-US" w:eastAsia="zh-CN" w:bidi="ar-SA"/>
              </w:rPr>
            </w:pPr>
            <w:r>
              <w:rPr>
                <w:rFonts w:hint="eastAsia" w:ascii="宋体" w:hAnsi="宋体"/>
                <w:bCs/>
                <w:szCs w:val="21"/>
              </w:rPr>
              <w:t>具有短趋势共存界面显示，方便同屏查看实时数据及趋势</w:t>
            </w:r>
          </w:p>
        </w:tc>
        <w:tc>
          <w:tcPr>
            <w:tcW w:w="449" w:type="dxa"/>
          </w:tcPr>
          <w:p>
            <w:pPr>
              <w:spacing w:line="320" w:lineRule="exact"/>
              <w:rPr>
                <w:rFonts w:ascii="仿宋" w:hAnsi="仿宋" w:eastAsia="仿宋"/>
                <w:szCs w:val="21"/>
              </w:rPr>
            </w:pPr>
          </w:p>
        </w:tc>
        <w:tc>
          <w:tcPr>
            <w:tcW w:w="608" w:type="dxa"/>
          </w:tcPr>
          <w:p>
            <w:pPr>
              <w:spacing w:line="320" w:lineRule="exact"/>
              <w:rPr>
                <w:rFonts w:ascii="仿宋" w:hAnsi="仿宋" w:eastAsia="仿宋"/>
                <w:szCs w:val="21"/>
              </w:rPr>
            </w:pPr>
          </w:p>
        </w:tc>
        <w:tc>
          <w:tcPr>
            <w:tcW w:w="71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spacing w:line="276" w:lineRule="auto"/>
              <w:rPr>
                <w:rFonts w:hint="eastAsia" w:ascii="宋体" w:hAnsi="宋体" w:eastAsia="宋体" w:cs="宋体"/>
                <w:kern w:val="2"/>
                <w:sz w:val="24"/>
                <w:szCs w:val="24"/>
                <w:lang w:val="en-US" w:eastAsia="zh-CN" w:bidi="ar-SA"/>
              </w:rPr>
            </w:pPr>
            <w:r>
              <w:rPr>
                <w:rFonts w:hint="eastAsia" w:ascii="宋体" w:hAnsi="宋体"/>
                <w:bCs/>
                <w:szCs w:val="21"/>
              </w:rPr>
              <w:t>主界面上支持“进入趋势图回顾界面”、“进入趋势表回顾界面”、“快速接收一名病人”、“进入呼吸氧合界面”、“夜间模式”等多种快捷键操作，且可根据不同医护人员使用习惯选择是否在主屏幕显示快捷键列表</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spacing w:line="276" w:lineRule="auto"/>
              <w:rPr>
                <w:rFonts w:ascii="宋体" w:hAnsi="宋体"/>
                <w:sz w:val="24"/>
                <w:szCs w:val="24"/>
              </w:rPr>
            </w:pPr>
            <w:r>
              <w:rPr>
                <w:rFonts w:hint="eastAsia" w:ascii="宋体" w:hAnsi="宋体"/>
                <w:bCs/>
                <w:szCs w:val="21"/>
              </w:rPr>
              <w:t>弹出的各界面窗口可拖曳，便于观察窗口后面内容（提供证明图片）</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spacing w:line="276" w:lineRule="auto"/>
              <w:rPr>
                <w:rFonts w:ascii="宋体" w:hAnsi="宋体"/>
                <w:sz w:val="24"/>
                <w:szCs w:val="24"/>
              </w:rPr>
            </w:pPr>
            <w:r>
              <w:rPr>
                <w:rFonts w:hint="eastAsia" w:ascii="宋体" w:hAnsi="宋体"/>
                <w:bCs/>
                <w:szCs w:val="21"/>
              </w:rPr>
              <w:t>720小时连续参数数据，68000组无创血压测量回顾，4500组报警事件/心律失常事件回顾，720小时全息波形储存回顾，具备USB数据接口、SD卡数据接口，</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spacing w:line="276" w:lineRule="auto"/>
              <w:rPr>
                <w:rFonts w:ascii="宋体" w:hAnsi="宋体"/>
                <w:sz w:val="24"/>
                <w:szCs w:val="24"/>
              </w:rPr>
            </w:pPr>
            <w:r>
              <w:rPr>
                <w:rFonts w:hint="eastAsia" w:ascii="宋体" w:hAnsi="宋体"/>
                <w:bCs/>
                <w:szCs w:val="21"/>
              </w:rPr>
              <w:t>心电增益有：1.25mm/mv (×0.125), 2.5 mm/mv (×0.25), 5 mm/mv (×0.5),10 mm/mv (×1), 20 mm/mv (×2), 40 mm/mv (×4),自动增益，多种选择，满足临床需求</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spacing w:line="276" w:lineRule="auto"/>
              <w:ind w:left="630" w:leftChars="0" w:hanging="630" w:hangingChars="300"/>
              <w:rPr>
                <w:rFonts w:ascii="宋体" w:hAnsi="宋体"/>
                <w:sz w:val="24"/>
                <w:szCs w:val="24"/>
              </w:rPr>
            </w:pPr>
            <w:r>
              <w:rPr>
                <w:rFonts w:hint="eastAsia" w:ascii="宋体" w:hAnsi="宋体"/>
                <w:bCs/>
                <w:szCs w:val="21"/>
              </w:rPr>
              <w:t>共模抑制比，弱滤波模式：&gt;95dB,监护和强滤波模式：&gt;105dB</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spacing w:line="276" w:lineRule="auto"/>
              <w:ind w:left="630" w:leftChars="0" w:hanging="630" w:hangingChars="300"/>
              <w:rPr>
                <w:rFonts w:ascii="宋体" w:hAnsi="宋体"/>
                <w:sz w:val="24"/>
                <w:szCs w:val="24"/>
              </w:rPr>
            </w:pPr>
            <w:r>
              <w:rPr>
                <w:rFonts w:hint="eastAsia" w:ascii="宋体" w:hAnsi="宋体"/>
                <w:bCs/>
                <w:szCs w:val="21"/>
              </w:rPr>
              <w:t>具有清洁模式，清洁NIBP气路的灰尘，提供仪器证明截图；</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spacing w:line="276" w:lineRule="auto"/>
              <w:rPr>
                <w:rFonts w:ascii="宋体" w:hAnsi="宋体"/>
                <w:sz w:val="24"/>
                <w:szCs w:val="24"/>
              </w:rPr>
            </w:pPr>
            <w:r>
              <w:rPr>
                <w:rFonts w:hint="eastAsia" w:ascii="宋体" w:hAnsi="宋体"/>
                <w:bCs/>
                <w:szCs w:val="21"/>
              </w:rPr>
              <w:t>NIBP监测采用金属泵充气，并且在进气口配备IP4空气过滤器，可清洗维护；（提供证明材料）</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spacing w:line="276" w:lineRule="auto"/>
              <w:rPr>
                <w:rFonts w:ascii="宋体" w:hAnsi="宋体"/>
                <w:sz w:val="24"/>
                <w:szCs w:val="24"/>
              </w:rPr>
            </w:pPr>
            <w:r>
              <w:rPr>
                <w:rFonts w:hint="eastAsia" w:ascii="宋体" w:hAnsi="宋体"/>
                <w:bCs/>
                <w:szCs w:val="21"/>
              </w:rPr>
              <w:t>具有脉搏调制音，通过心跳声音的音调变化来判断血氧饱和度的高低变化,使医护人员从听觉中获取病人生命体征；支持脉搏血氧信号强度指示PI，方便医护人员确定病人测量部位的血流灌注情况</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spacing w:line="276" w:lineRule="auto"/>
              <w:rPr>
                <w:rFonts w:ascii="宋体" w:hAnsi="宋体"/>
                <w:sz w:val="24"/>
                <w:szCs w:val="24"/>
              </w:rPr>
            </w:pPr>
            <w:r>
              <w:rPr>
                <w:rFonts w:hint="eastAsia" w:ascii="宋体" w:hAnsi="宋体"/>
                <w:bCs/>
                <w:szCs w:val="21"/>
              </w:rPr>
              <w:t>声光双重三级报警，同屏显示报警上下限，技术报警、生理报警和报警静音分别有各自的报警指示灯（3个独立的报警指示灯）</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spacing w:line="276" w:lineRule="auto"/>
              <w:ind w:left="630" w:leftChars="0" w:hanging="630" w:hangingChars="300"/>
              <w:rPr>
                <w:rFonts w:ascii="宋体" w:hAnsi="宋体"/>
                <w:sz w:val="24"/>
                <w:szCs w:val="24"/>
              </w:rPr>
            </w:pPr>
            <w:r>
              <w:rPr>
                <w:rFonts w:hint="eastAsia" w:ascii="宋体" w:hAnsi="宋体"/>
                <w:bCs/>
                <w:szCs w:val="21"/>
              </w:rPr>
              <w:t>参数报警集中设置功能，方便操作</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spacing w:line="276" w:lineRule="auto"/>
              <w:rPr>
                <w:rFonts w:ascii="宋体" w:hAnsi="宋体"/>
                <w:sz w:val="24"/>
                <w:szCs w:val="24"/>
              </w:rPr>
            </w:pPr>
            <w:r>
              <w:rPr>
                <w:rFonts w:hint="eastAsia" w:ascii="宋体" w:hAnsi="宋体"/>
                <w:bCs/>
                <w:szCs w:val="21"/>
              </w:rPr>
              <w:t>血压测量具新生儿袖带识别技术，防止因病人类型设置错误，新生儿血压测量时造成气压伤，提供证明文件；</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spacing w:line="276" w:lineRule="auto"/>
              <w:rPr>
                <w:rFonts w:ascii="宋体" w:hAnsi="宋体"/>
                <w:sz w:val="24"/>
                <w:szCs w:val="24"/>
              </w:rPr>
            </w:pPr>
            <w:r>
              <w:rPr>
                <w:rFonts w:hint="eastAsia" w:ascii="宋体" w:hAnsi="宋体"/>
                <w:bCs/>
                <w:szCs w:val="21"/>
              </w:rPr>
              <w:t>均标配转运监护模块，转运监护模块配置≧5英寸彩色触摸屏，支持屏幕锁，防止误操作</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spacing w:line="276" w:lineRule="auto"/>
              <w:ind w:left="630" w:leftChars="0" w:hanging="630" w:hangingChars="300"/>
              <w:rPr>
                <w:rFonts w:ascii="宋体" w:hAnsi="宋体"/>
                <w:sz w:val="24"/>
                <w:szCs w:val="24"/>
              </w:rPr>
            </w:pPr>
            <w:r>
              <w:rPr>
                <w:rFonts w:hint="eastAsia" w:ascii="宋体" w:hAnsi="宋体"/>
                <w:bCs/>
                <w:szCs w:val="21"/>
              </w:rPr>
              <w:t>标配一体式防滑提手，便于移动使用，专门为病人转运监护而设计，</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spacing w:line="276" w:lineRule="auto"/>
              <w:ind w:left="630" w:leftChars="0" w:hanging="630" w:hangingChars="300"/>
              <w:rPr>
                <w:rFonts w:ascii="宋体" w:hAnsi="宋体"/>
                <w:sz w:val="24"/>
                <w:szCs w:val="24"/>
              </w:rPr>
            </w:pPr>
            <w:r>
              <w:rPr>
                <w:rFonts w:hint="eastAsia" w:ascii="宋体" w:hAnsi="宋体"/>
                <w:bCs/>
                <w:szCs w:val="21"/>
              </w:rPr>
              <w:t xml:space="preserve">转运监护仪防护等级IP44  </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spacing w:line="276" w:lineRule="auto"/>
              <w:ind w:left="630" w:leftChars="0" w:hanging="630" w:hangingChars="300"/>
              <w:rPr>
                <w:rFonts w:ascii="宋体" w:hAnsi="宋体"/>
                <w:sz w:val="24"/>
                <w:szCs w:val="24"/>
              </w:rPr>
            </w:pPr>
            <w:r>
              <w:rPr>
                <w:rFonts w:hint="eastAsia" w:ascii="宋体" w:hAnsi="宋体"/>
                <w:bCs/>
                <w:szCs w:val="21"/>
              </w:rPr>
              <w:t>标配可充电锂电池，转运续航时间≥5.5H，支持在不开机情况下查看电池电量</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spacing w:line="276" w:lineRule="auto"/>
              <w:rPr>
                <w:rFonts w:ascii="宋体" w:hAnsi="宋体"/>
                <w:sz w:val="24"/>
                <w:szCs w:val="24"/>
              </w:rPr>
            </w:pPr>
            <w:r>
              <w:rPr>
                <w:rFonts w:hint="eastAsia" w:ascii="宋体" w:hAnsi="宋体"/>
                <w:bCs/>
                <w:szCs w:val="21"/>
              </w:rPr>
              <w:t>转运模块直接接至监护仪，将转运的监护信息直接导入至监护仪，双屏可看。同时配备延长线，也可通过延长线与监护仪连接；</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spacing w:line="276" w:lineRule="auto"/>
              <w:ind w:left="630" w:leftChars="0" w:hanging="630" w:hangingChars="300"/>
              <w:rPr>
                <w:rFonts w:ascii="宋体" w:hAnsi="宋体"/>
                <w:sz w:val="24"/>
                <w:szCs w:val="24"/>
              </w:rPr>
            </w:pPr>
            <w:r>
              <w:rPr>
                <w:rFonts w:hint="eastAsia" w:ascii="宋体" w:hAnsi="宋体"/>
                <w:bCs/>
                <w:szCs w:val="21"/>
              </w:rPr>
              <w:t>监护仪通过CE认证、FDA认证、ETL认证</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7332" w:type="dxa"/>
            <w:vAlign w:val="center"/>
          </w:tcPr>
          <w:p>
            <w:pPr>
              <w:adjustRightInd w:val="0"/>
              <w:snapToGrid w:val="0"/>
              <w:rPr>
                <w:rFonts w:ascii="宋体" w:hAnsi="宋体"/>
                <w:sz w:val="24"/>
                <w:szCs w:val="24"/>
              </w:rPr>
            </w:pPr>
            <w:r>
              <w:rPr>
                <w:rFonts w:hint="eastAsia" w:ascii="宋体" w:hAnsi="宋体"/>
                <w:sz w:val="24"/>
                <w:szCs w:val="24"/>
              </w:rPr>
              <w:t>质保要求：整机免费保修叁年（含所有零部件，包括须定期更换零部件）。</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7332" w:type="dxa"/>
            <w:vAlign w:val="center"/>
          </w:tcPr>
          <w:p>
            <w:pPr>
              <w:adjustRightInd w:val="0"/>
              <w:snapToGrid w:val="0"/>
              <w:rPr>
                <w:rFonts w:ascii="宋体" w:hAnsi="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5"/>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9"/>
      <w:numFmt w:val="decimal"/>
      <w:pStyle w:val="9"/>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FC9A417"/>
    <w:multiLevelType w:val="singleLevel"/>
    <w:tmpl w:val="1FC9A417"/>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22245871"/>
    <w:rsid w:val="23471639"/>
    <w:rsid w:val="30732574"/>
    <w:rsid w:val="31272DDE"/>
    <w:rsid w:val="68B40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138</Words>
  <Characters>792</Characters>
  <Lines>6</Lines>
  <Paragraphs>1</Paragraphs>
  <TotalTime>0</TotalTime>
  <ScaleCrop>false</ScaleCrop>
  <LinksUpToDate>false</LinksUpToDate>
  <CharactersWithSpaces>929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2021-03-10T01:25:04Z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