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40" w:lineRule="exact"/>
        <w:jc w:val="center"/>
        <w:rPr>
          <w:rFonts w:hint="eastAsia" w:ascii="微软雅黑" w:hAnsi="微软雅黑" w:eastAsia="微软雅黑"/>
          <w:b/>
          <w:sz w:val="32"/>
        </w:rPr>
      </w:pPr>
      <w:r>
        <w:rPr>
          <w:rFonts w:hint="eastAsia" w:ascii="微软雅黑" w:hAnsi="微软雅黑" w:eastAsia="微软雅黑"/>
          <w:b/>
          <w:sz w:val="32"/>
        </w:rPr>
        <w:t>吞咽神经肌肉低频电刺激仪</w:t>
      </w:r>
    </w:p>
    <w:p>
      <w:pPr>
        <w:spacing w:line="480" w:lineRule="exact"/>
        <w:rPr>
          <w:rFonts w:ascii="宋体" w:hAnsi="宋体"/>
          <w:sz w:val="24"/>
          <w:szCs w:val="24"/>
          <w:u w:val="single"/>
        </w:rPr>
      </w:pPr>
      <w:bookmarkStart w:id="0" w:name="_GoBack"/>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9"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sz w:val="24"/>
                <w:szCs w:val="24"/>
                <w:lang w:val="en-US" w:eastAsia="zh-CN"/>
              </w:rPr>
            </w:pPr>
            <w:r>
              <w:rPr>
                <w:rFonts w:hint="eastAsia" w:ascii="微软雅黑" w:hAnsi="微软雅黑" w:eastAsia="微软雅黑"/>
                <w:b/>
                <w:sz w:val="22"/>
              </w:rPr>
              <w:t>适应范围：</w:t>
            </w:r>
            <w:r>
              <w:rPr>
                <w:rFonts w:hint="eastAsia" w:ascii="微软雅黑" w:hAnsi="微软雅黑" w:eastAsia="微软雅黑"/>
                <w:sz w:val="22"/>
              </w:rPr>
              <w:t>适用于神经肌肉损伤引起的吞咽功能障碍的辅助治疗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4" w:leftChars="-19" w:hanging="44" w:hangingChars="20"/>
              <w:textAlignment w:val="auto"/>
              <w:rPr>
                <w:rFonts w:hint="eastAsia" w:ascii="宋体" w:hAnsi="宋体" w:eastAsia="宋体" w:cs="Arial"/>
                <w:sz w:val="24"/>
                <w:szCs w:val="24"/>
                <w:lang w:eastAsia="zh-CN"/>
              </w:rPr>
            </w:pPr>
            <w:r>
              <w:rPr>
                <w:rFonts w:hint="eastAsia" w:ascii="微软雅黑" w:hAnsi="微软雅黑" w:eastAsia="微软雅黑"/>
                <w:sz w:val="22"/>
              </w:rPr>
              <w:t>具备恒流、恒压两种电疗输出模式</w:t>
            </w:r>
            <w:r>
              <w:rPr>
                <w:rFonts w:hint="eastAsia" w:ascii="微软雅黑" w:hAnsi="微软雅黑" w:eastAsia="微软雅黑"/>
                <w:sz w:val="22"/>
                <w:lang w:eastAsia="zh-CN"/>
              </w:rPr>
              <w:t>，恒流输出模式下，用于吞咽部固定式电极片治疗；恒压输出模式下，用于吞咽部活动电极治疗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双通道输出，每通道可独立设置治疗参数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Arial"/>
                <w:sz w:val="24"/>
                <w:szCs w:val="24"/>
                <w:lang w:eastAsia="zh-CN"/>
              </w:rPr>
            </w:pPr>
            <w:r>
              <w:rPr>
                <w:rFonts w:hint="eastAsia" w:ascii="微软雅黑" w:hAnsi="微软雅黑" w:eastAsia="微软雅黑"/>
                <w:color w:val="000000" w:themeColor="text1"/>
                <w:sz w:val="22"/>
              </w:rPr>
              <w:t>输出强度：0mA～</w:t>
            </w:r>
            <w:r>
              <w:rPr>
                <w:rFonts w:hint="eastAsia" w:ascii="微软雅黑" w:hAnsi="微软雅黑" w:eastAsia="微软雅黑"/>
                <w:color w:val="000000" w:themeColor="text1"/>
                <w:sz w:val="22"/>
                <w:lang w:val="en-US" w:eastAsia="zh-CN"/>
              </w:rPr>
              <w:t>80</w:t>
            </w:r>
            <w:r>
              <w:rPr>
                <w:rFonts w:hint="eastAsia" w:ascii="微软雅黑" w:hAnsi="微软雅黑" w:eastAsia="微软雅黑"/>
                <w:color w:val="000000" w:themeColor="text1"/>
                <w:sz w:val="22"/>
              </w:rPr>
              <w:t>mA或0V～</w:t>
            </w:r>
            <w:r>
              <w:rPr>
                <w:rFonts w:hint="eastAsia" w:ascii="微软雅黑" w:hAnsi="微软雅黑" w:eastAsia="微软雅黑"/>
                <w:color w:val="000000" w:themeColor="text1"/>
                <w:sz w:val="22"/>
                <w:lang w:val="en-US" w:eastAsia="zh-CN"/>
              </w:rPr>
              <w:t>80</w:t>
            </w:r>
            <w:r>
              <w:rPr>
                <w:rFonts w:hint="eastAsia" w:ascii="微软雅黑" w:hAnsi="微软雅黑" w:eastAsia="微软雅黑"/>
                <w:color w:val="000000" w:themeColor="text1"/>
                <w:sz w:val="22"/>
              </w:rPr>
              <w:t>V范围内可调，步长0.</w:t>
            </w:r>
            <w:r>
              <w:rPr>
                <w:rFonts w:hint="eastAsia" w:ascii="微软雅黑" w:hAnsi="微软雅黑" w:eastAsia="微软雅黑"/>
                <w:color w:val="000000" w:themeColor="text1"/>
                <w:sz w:val="22"/>
                <w:lang w:val="en-US" w:eastAsia="zh-CN"/>
              </w:rPr>
              <w:t>5</w:t>
            </w:r>
            <w:r>
              <w:rPr>
                <w:rFonts w:hint="eastAsia" w:ascii="微软雅黑" w:hAnsi="微软雅黑" w:eastAsia="微软雅黑"/>
                <w:color w:val="000000" w:themeColor="text1"/>
                <w:sz w:val="22"/>
              </w:rPr>
              <w:t>mA或0.</w:t>
            </w:r>
            <w:r>
              <w:rPr>
                <w:rFonts w:hint="eastAsia" w:ascii="微软雅黑" w:hAnsi="微软雅黑" w:eastAsia="微软雅黑"/>
                <w:color w:val="000000" w:themeColor="text1"/>
                <w:sz w:val="22"/>
                <w:lang w:val="en-US" w:eastAsia="zh-CN"/>
              </w:rPr>
              <w:t>5</w:t>
            </w:r>
            <w:r>
              <w:rPr>
                <w:rFonts w:hint="eastAsia" w:ascii="微软雅黑" w:hAnsi="微软雅黑" w:eastAsia="微软雅黑"/>
                <w:color w:val="000000" w:themeColor="text1"/>
                <w:sz w:val="22"/>
              </w:rPr>
              <w:t>V</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脉冲频率：20Hz～100Hz可调，步长1Hz</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脉冲宽度：100μs～400μs可调，步长10μs</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4" w:leftChars="-19" w:hanging="44" w:hangingChars="20"/>
              <w:textAlignment w:val="auto"/>
              <w:rPr>
                <w:rFonts w:hint="eastAsia" w:ascii="宋体" w:hAnsi="宋体" w:eastAsia="宋体" w:cs="Arial"/>
                <w:sz w:val="24"/>
                <w:szCs w:val="24"/>
                <w:lang w:val="en-US" w:eastAsia="zh-CN"/>
              </w:rPr>
            </w:pPr>
            <w:r>
              <w:rPr>
                <w:rFonts w:hint="eastAsia" w:ascii="微软雅黑" w:hAnsi="微软雅黑" w:eastAsia="微软雅黑"/>
                <w:sz w:val="22"/>
              </w:rPr>
              <w:t>脉冲波形为双向对称波，正负脉冲间隔为100μs</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微软雅黑" w:hAnsi="微软雅黑" w:eastAsia="微软雅黑"/>
                <w:sz w:val="22"/>
              </w:rPr>
              <w:t>脉冲的上升时间和下降时间：1s～10s可调，步长1s</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Arial"/>
                <w:sz w:val="24"/>
                <w:szCs w:val="24"/>
              </w:rPr>
            </w:pPr>
            <w:r>
              <w:rPr>
                <w:rFonts w:hint="eastAsia" w:ascii="微软雅黑" w:hAnsi="微软雅黑" w:eastAsia="微软雅黑"/>
                <w:sz w:val="22"/>
              </w:rPr>
              <w:t>脉冲的维持时间：1s～55s可调，步长1s</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Arial"/>
                <w:sz w:val="24"/>
                <w:szCs w:val="24"/>
                <w:lang w:val="en-US" w:eastAsia="zh-CN"/>
              </w:rPr>
            </w:pPr>
            <w:r>
              <w:rPr>
                <w:rFonts w:hint="eastAsia" w:ascii="微软雅黑" w:hAnsi="微软雅黑" w:eastAsia="微软雅黑"/>
                <w:sz w:val="22"/>
              </w:rPr>
              <w:t>脉冲的断电时间：3s～75s可调，步长1s</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微软雅黑" w:hAnsi="微软雅黑" w:eastAsia="微软雅黑"/>
                <w:sz w:val="22"/>
              </w:rPr>
              <w:t>治疗时间1~99min可调，步长1min</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lang w:val="en-US" w:eastAsia="zh-CN"/>
              </w:rPr>
            </w:pPr>
            <w:r>
              <w:rPr>
                <w:rFonts w:hint="eastAsia" w:ascii="微软雅黑" w:hAnsi="微软雅黑" w:eastAsia="微软雅黑"/>
                <w:sz w:val="22"/>
              </w:rPr>
              <w:t>具备蝶形固定电极、单球移动电极、双球移动电极、板状移动电极、口腔内棉签电极</w:t>
            </w:r>
            <w:r>
              <w:rPr>
                <w:rFonts w:hint="eastAsia" w:ascii="微软雅黑" w:hAnsi="微软雅黑" w:eastAsia="微软雅黑"/>
                <w:sz w:val="22"/>
                <w:lang w:eastAsia="zh-CN"/>
              </w:rPr>
              <w:t>、</w:t>
            </w:r>
            <w:r>
              <w:rPr>
                <w:rFonts w:hint="eastAsia" w:ascii="微软雅黑" w:hAnsi="微软雅黑" w:eastAsia="微软雅黑"/>
                <w:color w:val="000000" w:themeColor="text1"/>
                <w:sz w:val="22"/>
                <w:lang w:eastAsia="zh-CN"/>
              </w:rPr>
              <w:t>口腔内单点球状电极和口腔内两点球状电极</w:t>
            </w:r>
            <w:r>
              <w:rPr>
                <w:rFonts w:hint="eastAsia" w:ascii="微软雅黑" w:hAnsi="微软雅黑" w:eastAsia="微软雅黑"/>
                <w:color w:val="000000" w:themeColor="text1"/>
                <w:sz w:val="22"/>
              </w:rPr>
              <w:t>共</w:t>
            </w:r>
            <w:r>
              <w:rPr>
                <w:rFonts w:hint="eastAsia" w:ascii="微软雅黑" w:hAnsi="微软雅黑" w:eastAsia="微软雅黑"/>
                <w:color w:val="000000" w:themeColor="text1"/>
                <w:sz w:val="22"/>
                <w:lang w:eastAsia="zh-CN"/>
              </w:rPr>
              <w:t>七</w:t>
            </w:r>
            <w:r>
              <w:rPr>
                <w:rFonts w:hint="eastAsia" w:ascii="微软雅黑" w:hAnsi="微软雅黑" w:eastAsia="微软雅黑"/>
                <w:color w:val="000000" w:themeColor="text1"/>
                <w:sz w:val="22"/>
              </w:rPr>
              <w:t>种电极治疗方式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sz w:val="24"/>
                <w:szCs w:val="24"/>
                <w:lang w:val="en-US" w:eastAsia="zh-CN"/>
              </w:rPr>
            </w:pPr>
            <w:r>
              <w:rPr>
                <w:rFonts w:hint="eastAsia" w:ascii="微软雅黑" w:hAnsi="微软雅黑" w:eastAsia="微软雅黑"/>
                <w:sz w:val="22"/>
              </w:rPr>
              <w:t>固定电极具备三种治疗模式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微软雅黑" w:hAnsi="微软雅黑" w:eastAsia="微软雅黑"/>
                <w:sz w:val="22"/>
              </w:rPr>
              <w:t>内置电极放置图示，方便使用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szCs w:val="24"/>
              </w:rPr>
            </w:pPr>
            <w:r>
              <w:rPr>
                <w:rFonts w:hint="eastAsia" w:ascii="微软雅黑" w:hAnsi="微软雅黑" w:eastAsia="微软雅黑"/>
                <w:sz w:val="22"/>
              </w:rPr>
              <w:t>电刺激手柄供治疗师操作，可按治疗需求控制电流输出的持续时间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szCs w:val="24"/>
              </w:rPr>
            </w:pPr>
            <w:r>
              <w:rPr>
                <w:rFonts w:hint="eastAsia" w:ascii="微软雅黑" w:hAnsi="微软雅黑" w:eastAsia="微软雅黑"/>
                <w:sz w:val="22"/>
              </w:rPr>
              <w:t>触屏+一键飞梭，操作简便多样化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微软雅黑" w:hAnsi="微软雅黑" w:eastAsia="微软雅黑"/>
                <w:sz w:val="22"/>
              </w:rPr>
              <w:t>开路报警提示，过电保护确保治疗安全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微软雅黑" w:hAnsi="微软雅黑" w:eastAsia="微软雅黑"/>
                <w:sz w:val="22"/>
              </w:rPr>
              <w:t>产品符合YY 0505标准电磁兼容有关要求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eastAsia="宋体"/>
                <w:sz w:val="24"/>
                <w:szCs w:val="24"/>
                <w:lang w:val="en-US" w:eastAsia="zh-CN"/>
              </w:rPr>
            </w:pPr>
            <w:r>
              <w:rPr>
                <w:rFonts w:hint="eastAsia" w:ascii="微软雅黑" w:hAnsi="微软雅黑" w:eastAsia="微软雅黑"/>
                <w:sz w:val="22"/>
              </w:rPr>
              <w:t>产品符合GB 4824标准I组A类的相关要求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sz w:val="24"/>
                <w:szCs w:val="24"/>
              </w:rPr>
              <w:t>质保要求：整机免费保修</w:t>
            </w:r>
            <w:r>
              <w:rPr>
                <w:rFonts w:hint="eastAsia" w:ascii="宋体" w:hAnsi="宋体"/>
                <w:sz w:val="24"/>
                <w:szCs w:val="24"/>
                <w:lang w:eastAsia="zh-CN"/>
              </w:rPr>
              <w:t>不少于</w:t>
            </w:r>
            <w:r>
              <w:rPr>
                <w:rFonts w:hint="eastAsia" w:ascii="宋体" w:hAnsi="宋体"/>
                <w:sz w:val="24"/>
                <w:szCs w:val="24"/>
              </w:rPr>
              <w:t>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ascii="宋体" w:hAnsi="宋体"/>
                <w:sz w:val="24"/>
                <w:szCs w:val="24"/>
              </w:rPr>
              <w:t>提供近3年内同机型设备</w:t>
            </w:r>
            <w:r>
              <w:rPr>
                <w:rFonts w:hint="eastAsia" w:ascii="宋体" w:hAnsi="宋体"/>
                <w:sz w:val="24"/>
                <w:szCs w:val="24"/>
                <w:lang w:eastAsia="zh-CN"/>
              </w:rPr>
              <w:t>安徽省内</w:t>
            </w:r>
            <w:r>
              <w:rPr>
                <w:rFonts w:ascii="宋体" w:hAnsi="宋体"/>
                <w:sz w:val="24"/>
                <w:szCs w:val="24"/>
              </w:rPr>
              <w:t>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6"/>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1418" w:type="dxa"/>
            <w:noWrap w:val="0"/>
            <w:vAlign w:val="top"/>
          </w:tcPr>
          <w:p>
            <w:pPr>
              <w:spacing w:line="320" w:lineRule="exact"/>
              <w:rPr>
                <w:rFonts w:ascii="宋体" w:hAnsi="宋体"/>
                <w:sz w:val="24"/>
                <w:szCs w:val="24"/>
              </w:rPr>
            </w:pPr>
            <w:r>
              <w:rPr>
                <w:rFonts w:hint="eastAsia" w:ascii="宋体" w:hAnsi="宋体"/>
                <w:sz w:val="24"/>
                <w:szCs w:val="24"/>
              </w:rPr>
              <w:t>耗材使用学科</w:t>
            </w:r>
          </w:p>
        </w:tc>
        <w:tc>
          <w:tcPr>
            <w:tcW w:w="1275"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1560"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417"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236"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2308" w:type="dxa"/>
            <w:noWrap w:val="0"/>
            <w:vAlign w:val="top"/>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jc w:val="center"/>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6"/>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4"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3"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6"/>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须定期更换零部件</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3"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4"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spacing w:after="240" w:line="440" w:lineRule="exact"/>
        <w:jc w:val="both"/>
        <w:rPr>
          <w:rFonts w:hint="eastAsia" w:ascii="微软雅黑" w:hAnsi="微软雅黑" w:eastAsia="微软雅黑"/>
          <w:b/>
          <w:sz w:val="32"/>
        </w:rPr>
      </w:pPr>
    </w:p>
    <w:p>
      <w:pPr>
        <w:spacing w:line="440" w:lineRule="exact"/>
        <w:ind w:left="425"/>
        <w:jc w:val="center"/>
        <w:rPr>
          <w:rFonts w:ascii="微软雅黑" w:hAnsi="微软雅黑" w:eastAsia="微软雅黑"/>
          <w:b/>
          <w:bCs/>
          <w:sz w:val="28"/>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49" w:firstLineChars="1049"/>
      <w:jc w:val="right"/>
      <w:rPr>
        <w:rFonts w:ascii="微软雅黑" w:hAnsi="微软雅黑" w:eastAsia="微软雅黑"/>
        <w:b/>
        <w:bCs/>
        <w:sz w:val="30"/>
      </w:rPr>
    </w:pPr>
  </w:p>
  <w:p>
    <w:pPr>
      <w:pStyle w:val="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2975"/>
    <w:rsid w:val="000338DE"/>
    <w:rsid w:val="000578AA"/>
    <w:rsid w:val="000A79DA"/>
    <w:rsid w:val="000E5986"/>
    <w:rsid w:val="002121C9"/>
    <w:rsid w:val="0025190A"/>
    <w:rsid w:val="002575BF"/>
    <w:rsid w:val="002723BD"/>
    <w:rsid w:val="002D3551"/>
    <w:rsid w:val="002E4410"/>
    <w:rsid w:val="00350B2A"/>
    <w:rsid w:val="003B102E"/>
    <w:rsid w:val="00406F7F"/>
    <w:rsid w:val="00512975"/>
    <w:rsid w:val="006F475D"/>
    <w:rsid w:val="007103F3"/>
    <w:rsid w:val="00725D1D"/>
    <w:rsid w:val="00727636"/>
    <w:rsid w:val="00865AE5"/>
    <w:rsid w:val="009C6E69"/>
    <w:rsid w:val="00A401EF"/>
    <w:rsid w:val="00A67C9A"/>
    <w:rsid w:val="00A80D4C"/>
    <w:rsid w:val="00B150A0"/>
    <w:rsid w:val="00BC2B72"/>
    <w:rsid w:val="00BC76BE"/>
    <w:rsid w:val="00C47412"/>
    <w:rsid w:val="00C649F4"/>
    <w:rsid w:val="00C92A14"/>
    <w:rsid w:val="00E25F94"/>
    <w:rsid w:val="00E75383"/>
    <w:rsid w:val="00F167DD"/>
    <w:rsid w:val="00F641E4"/>
    <w:rsid w:val="2D3A0BB7"/>
    <w:rsid w:val="37BA1B18"/>
    <w:rsid w:val="3CD44CA7"/>
    <w:rsid w:val="48210BB0"/>
    <w:rsid w:val="4CE571FA"/>
    <w:rsid w:val="4DDD73F5"/>
    <w:rsid w:val="54DA7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qFormat/>
    <w:uiPriority w:val="0"/>
    <w:rPr>
      <w:rFonts w:ascii="Times New Roman" w:hAnsi="Times New Roman" w:eastAsia="宋体" w:cs="Times New Roman"/>
      <w:sz w:val="18"/>
      <w:szCs w:val="18"/>
    </w:rPr>
  </w:style>
  <w:style w:type="paragraph" w:customStyle="1" w:styleId="11">
    <w:name w:val="Q/19LGT01—2001"/>
    <w:basedOn w:val="1"/>
    <w:qFormat/>
    <w:uiPriority w:val="0"/>
    <w:pPr>
      <w:tabs>
        <w:tab w:val="left" w:pos="420"/>
        <w:tab w:val="left" w:pos="555"/>
      </w:tabs>
      <w:spacing w:line="360" w:lineRule="auto"/>
      <w:ind w:left="435" w:leftChars="150" w:hanging="120" w:hangingChars="50"/>
    </w:pPr>
    <w:rPr>
      <w:rFonts w:ascii="宋体" w:hAnsi="宋体"/>
      <w:bCs/>
      <w:sz w:val="24"/>
    </w:rPr>
  </w:style>
  <w:style w:type="character" w:customStyle="1" w:styleId="12">
    <w:name w:val="批注文字 Char"/>
    <w:basedOn w:val="7"/>
    <w:link w:val="2"/>
    <w:qFormat/>
    <w:uiPriority w:val="0"/>
    <w:rPr>
      <w:rFonts w:ascii="Times New Roman" w:hAnsi="Times New Roman" w:eastAsia="宋体" w:cs="Times New Roman"/>
      <w:szCs w:val="24"/>
    </w:rPr>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452</Characters>
  <Lines>3</Lines>
  <Paragraphs>1</Paragraphs>
  <TotalTime>1</TotalTime>
  <ScaleCrop>false</ScaleCrop>
  <LinksUpToDate>false</LinksUpToDate>
  <CharactersWithSpaces>530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2015-10-30T06:22:00Z</dcterms:created>
  <dc:creator>SC008</dc:creator>
  <cp:lastModifiedBy>─+.Yu℡</cp:lastModifiedBy>
  <dcterms:modified xsi:type="dcterms:W3CDTF">2021-02-05T01:34:01Z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