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双摇病床</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8"/>
        <w:gridCol w:w="431"/>
        <w:gridCol w:w="6656"/>
        <w:gridCol w:w="825"/>
        <w:gridCol w:w="705"/>
        <w:gridCol w:w="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15" w:type="dxa"/>
            <w:gridSpan w:val="3"/>
          </w:tcPr>
          <w:p>
            <w:pPr>
              <w:spacing w:line="320" w:lineRule="exact"/>
              <w:jc w:val="center"/>
              <w:rPr>
                <w:rFonts w:ascii="仿宋" w:hAnsi="仿宋" w:eastAsia="仿宋"/>
                <w:b/>
                <w:szCs w:val="21"/>
              </w:rPr>
            </w:pPr>
            <w:bookmarkStart w:id="0" w:name="_GoBack" w:colFirst="3" w:colLast="3"/>
            <w:r>
              <w:rPr>
                <w:rFonts w:hint="eastAsia" w:ascii="仿宋" w:hAnsi="仿宋" w:eastAsia="仿宋"/>
                <w:b/>
                <w:szCs w:val="21"/>
              </w:rPr>
              <w:t>本项目初步参数拟设置情况</w:t>
            </w:r>
          </w:p>
        </w:tc>
        <w:tc>
          <w:tcPr>
            <w:tcW w:w="825"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8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431"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656"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825"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98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color w:val="000000"/>
                <w:sz w:val="24"/>
                <w:szCs w:val="24"/>
              </w:rPr>
              <w:t>外形尺寸：参考值2150*980*500±50mm（长*宽*高）。</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431" w:type="dxa"/>
          </w:tcPr>
          <w:p>
            <w:pPr>
              <w:spacing w:line="320" w:lineRule="exact"/>
              <w:rPr>
                <w:rFonts w:ascii="仿宋" w:hAnsi="仿宋" w:eastAsia="仿宋"/>
                <w:szCs w:val="21"/>
              </w:rPr>
            </w:pPr>
          </w:p>
        </w:tc>
        <w:tc>
          <w:tcPr>
            <w:tcW w:w="6656" w:type="dxa"/>
          </w:tcPr>
          <w:p>
            <w:pPr>
              <w:pStyle w:val="2"/>
              <w:spacing w:line="420" w:lineRule="exact"/>
              <w:jc w:val="left"/>
              <w:rPr>
                <w:rFonts w:ascii="仿宋" w:hAnsi="仿宋" w:eastAsia="仿宋"/>
                <w:szCs w:val="21"/>
              </w:rPr>
            </w:pPr>
            <w:r>
              <w:rPr>
                <w:rFonts w:hint="eastAsia" w:asciiTheme="minorEastAsia" w:hAnsiTheme="minorEastAsia" w:eastAsiaTheme="minorEastAsia" w:cstheme="minorEastAsia"/>
                <w:b w:val="0"/>
                <w:bCs w:val="0"/>
                <w:sz w:val="24"/>
                <w:szCs w:val="24"/>
              </w:rPr>
              <w:t>床体可载重≥250kg；背板动态载重≥150kg</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431" w:type="dxa"/>
          </w:tcPr>
          <w:p>
            <w:pPr>
              <w:spacing w:line="320" w:lineRule="exact"/>
              <w:rPr>
                <w:rFonts w:ascii="仿宋" w:hAnsi="仿宋" w:eastAsia="仿宋"/>
                <w:szCs w:val="21"/>
              </w:rPr>
            </w:pPr>
          </w:p>
        </w:tc>
        <w:tc>
          <w:tcPr>
            <w:tcW w:w="6656" w:type="dxa"/>
          </w:tcPr>
          <w:p>
            <w:pPr>
              <w:pStyle w:val="2"/>
              <w:spacing w:line="420" w:lineRule="exact"/>
              <w:jc w:val="left"/>
              <w:rPr>
                <w:rFonts w:ascii="仿宋" w:hAnsi="仿宋" w:eastAsia="仿宋"/>
                <w:szCs w:val="21"/>
              </w:rPr>
            </w:pPr>
            <w:r>
              <w:rPr>
                <w:rFonts w:hint="eastAsia" w:asciiTheme="minorEastAsia" w:hAnsiTheme="minorEastAsia" w:eastAsiaTheme="minorEastAsia" w:cstheme="minorEastAsia"/>
                <w:b w:val="0"/>
                <w:bCs w:val="0"/>
                <w:sz w:val="24"/>
                <w:szCs w:val="24"/>
              </w:rPr>
              <w:t>床头尾板：弧线形设计，全新ABS工程材料整体一次性成型（非再生材料）；表面光滑易擦拭，长期依靠不倾斜，床头及床尾架可以拆卸及锁定，中间配有湛蓝色防火板，可快速拆卸，满足临床急救需求。</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431" w:type="dxa"/>
          </w:tcPr>
          <w:p>
            <w:pPr>
              <w:spacing w:line="320" w:lineRule="exact"/>
              <w:rPr>
                <w:rFonts w:ascii="仿宋" w:hAnsi="仿宋" w:eastAsia="仿宋"/>
                <w:szCs w:val="21"/>
              </w:rPr>
            </w:pPr>
          </w:p>
        </w:tc>
        <w:tc>
          <w:tcPr>
            <w:tcW w:w="6656" w:type="dxa"/>
          </w:tcPr>
          <w:p>
            <w:pPr>
              <w:pStyle w:val="2"/>
              <w:spacing w:line="420" w:lineRule="exact"/>
              <w:jc w:val="left"/>
              <w:rPr>
                <w:rFonts w:ascii="仿宋" w:hAnsi="仿宋" w:eastAsia="仿宋"/>
                <w:szCs w:val="21"/>
              </w:rPr>
            </w:pPr>
            <w:r>
              <w:rPr>
                <w:rFonts w:hint="eastAsia" w:asciiTheme="minorEastAsia" w:hAnsiTheme="minorEastAsia" w:eastAsiaTheme="minorEastAsia" w:cstheme="minorEastAsia"/>
                <w:b w:val="0"/>
                <w:bCs w:val="0"/>
                <w:sz w:val="24"/>
                <w:szCs w:val="24"/>
              </w:rPr>
              <w:t>床框采用不低于30×60×1.5㎜标准的矩型碳素钢管焊接，床腿采用不低于50*50*1.5mm标准优质钢材料制成。</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431" w:type="dxa"/>
          </w:tcPr>
          <w:p>
            <w:pPr>
              <w:spacing w:line="320" w:lineRule="exact"/>
              <w:rPr>
                <w:rFonts w:ascii="仿宋" w:hAnsi="仿宋" w:eastAsia="仿宋"/>
                <w:szCs w:val="21"/>
              </w:rPr>
            </w:pPr>
          </w:p>
        </w:tc>
        <w:tc>
          <w:tcPr>
            <w:tcW w:w="6656" w:type="dxa"/>
          </w:tcPr>
          <w:p>
            <w:pPr>
              <w:pStyle w:val="2"/>
              <w:spacing w:line="420" w:lineRule="exact"/>
              <w:jc w:val="left"/>
              <w:rPr>
                <w:rFonts w:ascii="仿宋" w:hAnsi="仿宋" w:eastAsia="仿宋"/>
                <w:szCs w:val="21"/>
              </w:rPr>
            </w:pPr>
            <w:r>
              <w:rPr>
                <w:rFonts w:hint="eastAsia" w:asciiTheme="minorEastAsia" w:hAnsiTheme="minorEastAsia" w:eastAsiaTheme="minorEastAsia" w:cstheme="minorEastAsia"/>
                <w:b w:val="0"/>
                <w:bCs w:val="0"/>
                <w:sz w:val="24"/>
                <w:szCs w:val="24"/>
              </w:rPr>
              <w:t>床面：采用冷扎钢板卷板一次模压冲孔床面，床面厚度≥1.2mm，床面为四片床板，经特别设计的模具一次冲压成型，床板带有透气孔，表面采用静电喷塑，喷塑层涂着均匀，固着牢固不易脱落。</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431" w:type="dxa"/>
          </w:tcPr>
          <w:p>
            <w:pPr>
              <w:spacing w:line="320" w:lineRule="exact"/>
              <w:rPr>
                <w:rFonts w:ascii="仿宋" w:hAnsi="仿宋" w:eastAsia="仿宋"/>
                <w:szCs w:val="21"/>
              </w:rPr>
            </w:pPr>
          </w:p>
        </w:tc>
        <w:tc>
          <w:tcPr>
            <w:tcW w:w="6656" w:type="dxa"/>
          </w:tcPr>
          <w:p>
            <w:pPr>
              <w:pStyle w:val="2"/>
              <w:spacing w:line="420" w:lineRule="exact"/>
              <w:jc w:val="left"/>
              <w:rPr>
                <w:rFonts w:ascii="仿宋" w:hAnsi="仿宋" w:eastAsia="仿宋"/>
                <w:szCs w:val="21"/>
              </w:rPr>
            </w:pPr>
            <w:r>
              <w:rPr>
                <w:rFonts w:hint="eastAsia" w:asciiTheme="minorEastAsia" w:hAnsiTheme="minorEastAsia" w:eastAsiaTheme="minorEastAsia" w:cstheme="minorEastAsia"/>
                <w:b w:val="0"/>
                <w:bCs w:val="0"/>
                <w:sz w:val="24"/>
                <w:szCs w:val="24"/>
              </w:rPr>
              <w:t>病床整体经酸洗磷化后并静电喷塑或者电泳涂装+粉末喷涂，涂料有抗菌作用，成品色泽纯亮，喷塑层涂着均匀，固着牢固不易脱落，附着力须达到一级标准。</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color w:val="000000"/>
                <w:sz w:val="24"/>
                <w:szCs w:val="24"/>
              </w:rPr>
              <w:t>护栏：八档铝合金护栏，</w:t>
            </w:r>
            <w:r>
              <w:rPr>
                <w:rFonts w:hint="eastAsia" w:asciiTheme="minorEastAsia" w:hAnsiTheme="minorEastAsia" w:eastAsiaTheme="minorEastAsia" w:cstheme="minorEastAsia"/>
                <w:color w:val="000000"/>
                <w:sz w:val="24"/>
                <w:szCs w:val="24"/>
                <w:lang w:eastAsia="zh-CN"/>
              </w:rPr>
              <w:t>参考尺寸</w:t>
            </w:r>
            <w:r>
              <w:rPr>
                <w:rFonts w:hint="eastAsia" w:asciiTheme="minorEastAsia" w:hAnsiTheme="minorEastAsia" w:eastAsiaTheme="minorEastAsia" w:cstheme="minorEastAsia"/>
                <w:color w:val="000000"/>
                <w:sz w:val="24"/>
                <w:szCs w:val="24"/>
                <w:lang w:val="en-US" w:eastAsia="zh-CN"/>
              </w:rPr>
              <w:t>1500mm，</w:t>
            </w:r>
            <w:r>
              <w:rPr>
                <w:rFonts w:hint="eastAsia" w:asciiTheme="minorEastAsia" w:hAnsiTheme="minorEastAsia" w:eastAsiaTheme="minorEastAsia" w:cstheme="minorEastAsia"/>
                <w:color w:val="000000"/>
                <w:sz w:val="24"/>
                <w:szCs w:val="24"/>
              </w:rPr>
              <w:t>护栏前后横向拉力达80kg以上，并加设极限保险装置，卧式C型加强防晃装置，配以3.5mm以上厚冷扎钢板护栏下座牢固耐用。护栏放下来与床面基本平，使病人上下病床更加方便，陪护人员坐在床边上不搁腿，方便医护人员对病人进行护理。</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color w:val="000000"/>
                <w:sz w:val="24"/>
                <w:szCs w:val="24"/>
              </w:rPr>
              <w:t>脚轮：表面采用125mm优质静音脚轮，每张病床不低于两个刹车轮，配有全封闭高精度滚珠轴承，轮毂两侧配有防尘盖，有效防止头发之类异物缠绕。</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color w:val="000000"/>
                <w:sz w:val="24"/>
                <w:szCs w:val="24"/>
              </w:rPr>
              <w:t>摇手：优质ABS材料，安全、无噪音，防尘结构不积灰尘，保障使用顺畅，颜色与病床配套协调。</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color w:val="000000"/>
                <w:sz w:val="24"/>
                <w:szCs w:val="24"/>
              </w:rPr>
              <w:t>丝杆：采用加长铜螺母，并且有双向打滑限位之功能，内有适量黄油，使丝杆传动灵活、轻便省力、耐用，铁套管采用防尘全封闭式结构。</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color w:val="000000"/>
                <w:sz w:val="24"/>
                <w:szCs w:val="24"/>
              </w:rPr>
              <w:t>调节范围：背部调节高度：0°-75°±5°，腿部调节高度：0°-45°±5°</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431" w:type="dxa"/>
          </w:tcPr>
          <w:p>
            <w:pPr>
              <w:spacing w:line="320" w:lineRule="exact"/>
              <w:rPr>
                <w:rFonts w:ascii="仿宋" w:hAnsi="仿宋" w:eastAsia="仿宋"/>
                <w:szCs w:val="21"/>
              </w:rPr>
            </w:pPr>
          </w:p>
        </w:tc>
        <w:tc>
          <w:tcPr>
            <w:tcW w:w="6656" w:type="dxa"/>
          </w:tcPr>
          <w:p>
            <w:pPr>
              <w:spacing w:line="420" w:lineRule="exact"/>
              <w:rPr>
                <w:rFonts w:ascii="仿宋" w:hAnsi="仿宋" w:eastAsia="仿宋"/>
                <w:szCs w:val="21"/>
              </w:rPr>
            </w:pPr>
            <w:r>
              <w:rPr>
                <w:rFonts w:hint="eastAsia" w:asciiTheme="minorEastAsia" w:hAnsiTheme="minorEastAsia" w:eastAsiaTheme="minorEastAsia" w:cstheme="minorEastAsia"/>
                <w:sz w:val="24"/>
                <w:szCs w:val="24"/>
              </w:rPr>
              <w:t>餐桌：床尾配液压带阻尼装置翻板餐桌，安全、无噪音，增强ABS材质，易清洗、耐磨损，餐桌放下后起缓冲作用，防止压伤病人、医护人员、陪护人员。</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431" w:type="dxa"/>
          </w:tcPr>
          <w:p>
            <w:pPr>
              <w:spacing w:line="320" w:lineRule="exact"/>
              <w:rPr>
                <w:rFonts w:ascii="仿宋" w:hAnsi="仿宋" w:eastAsia="仿宋"/>
                <w:szCs w:val="21"/>
              </w:rPr>
            </w:pPr>
          </w:p>
        </w:tc>
        <w:tc>
          <w:tcPr>
            <w:tcW w:w="6656" w:type="dxa"/>
          </w:tcPr>
          <w:p>
            <w:pPr>
              <w:spacing w:line="420" w:lineRule="exact"/>
              <w:jc w:val="left"/>
              <w:rPr>
                <w:rFonts w:ascii="仿宋" w:hAnsi="仿宋" w:eastAsia="仿宋"/>
                <w:szCs w:val="21"/>
              </w:rPr>
            </w:pPr>
            <w:r>
              <w:rPr>
                <w:rFonts w:hint="eastAsia" w:asciiTheme="minorEastAsia" w:hAnsiTheme="minorEastAsia" w:eastAsiaTheme="minorEastAsia" w:cstheme="minorEastAsia"/>
                <w:color w:val="000000"/>
                <w:sz w:val="24"/>
                <w:szCs w:val="24"/>
              </w:rPr>
              <w:t>其他：床框每边设有2个吊水架孔和2个双向引流袋挂钩。床底配置杂物架1个，病床四角有防撞</w:t>
            </w:r>
            <w:r>
              <w:rPr>
                <w:rFonts w:hint="eastAsia" w:asciiTheme="minorEastAsia" w:hAnsiTheme="minorEastAsia" w:cstheme="minorEastAsia"/>
                <w:color w:val="000000"/>
                <w:sz w:val="24"/>
                <w:szCs w:val="24"/>
                <w:lang w:eastAsia="zh-CN"/>
              </w:rPr>
              <w:t>轮</w:t>
            </w:r>
            <w:r>
              <w:rPr>
                <w:rFonts w:hint="eastAsia" w:asciiTheme="minorEastAsia" w:hAnsiTheme="minorEastAsia" w:eastAsiaTheme="minorEastAsia" w:cstheme="minorEastAsia"/>
                <w:color w:val="000000"/>
                <w:sz w:val="24"/>
                <w:szCs w:val="24"/>
              </w:rPr>
              <w:t>。</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431" w:type="dxa"/>
          </w:tcPr>
          <w:p>
            <w:pPr>
              <w:spacing w:line="320" w:lineRule="exact"/>
              <w:rPr>
                <w:rFonts w:ascii="仿宋" w:hAnsi="仿宋" w:eastAsia="仿宋"/>
                <w:szCs w:val="21"/>
              </w:rPr>
            </w:pPr>
          </w:p>
        </w:tc>
        <w:tc>
          <w:tcPr>
            <w:tcW w:w="6656" w:type="dxa"/>
          </w:tcPr>
          <w:p>
            <w:pPr>
              <w:spacing w:line="420" w:lineRule="exact"/>
              <w:jc w:val="left"/>
              <w:rPr>
                <w:rFonts w:ascii="仿宋" w:hAnsi="仿宋" w:eastAsia="仿宋"/>
                <w:szCs w:val="21"/>
              </w:rPr>
            </w:pPr>
            <w:r>
              <w:rPr>
                <w:rFonts w:hint="eastAsia" w:asciiTheme="minorEastAsia" w:hAnsiTheme="minorEastAsia" w:eastAsiaTheme="minorEastAsia" w:cstheme="minorEastAsia"/>
                <w:color w:val="000000"/>
                <w:sz w:val="24"/>
                <w:szCs w:val="24"/>
              </w:rPr>
              <w:t>床垫材质：不低于8cm厚度，内部优质增强型海绵芯，外部防水牛津布套，带透气孔，防水、耐磨、防虫、防蛀，柔韧性好，舒适耐用，属于绿色健康环保产品。</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431" w:type="dxa"/>
          </w:tcPr>
          <w:p>
            <w:pPr>
              <w:spacing w:line="320" w:lineRule="exact"/>
              <w:rPr>
                <w:rFonts w:ascii="仿宋" w:hAnsi="仿宋" w:eastAsia="仿宋"/>
                <w:szCs w:val="21"/>
              </w:rPr>
            </w:pPr>
          </w:p>
        </w:tc>
        <w:tc>
          <w:tcPr>
            <w:tcW w:w="6656" w:type="dxa"/>
          </w:tcPr>
          <w:p>
            <w:pPr>
              <w:pStyle w:val="2"/>
              <w:spacing w:line="420" w:lineRule="exact"/>
              <w:jc w:val="both"/>
              <w:rPr>
                <w:rFonts w:ascii="仿宋" w:hAnsi="仿宋" w:eastAsia="仿宋"/>
                <w:szCs w:val="21"/>
              </w:rPr>
            </w:pPr>
            <w:r>
              <w:rPr>
                <w:rFonts w:hint="eastAsia" w:asciiTheme="minorEastAsia" w:hAnsiTheme="minorEastAsia" w:eastAsiaTheme="minorEastAsia" w:cstheme="minorEastAsia"/>
                <w:b w:val="0"/>
                <w:bCs w:val="0"/>
                <w:sz w:val="24"/>
                <w:szCs w:val="24"/>
              </w:rPr>
              <w:t>要求通过ISO9001：2015质量管理体系认证及ISO13485：2016医疗器械质量管理体系认证。</w:t>
            </w:r>
            <w:r>
              <w:rPr>
                <w:rFonts w:hint="eastAsia" w:asciiTheme="minorEastAsia" w:hAnsiTheme="minorEastAsia" w:cstheme="minorEastAsia"/>
                <w:b w:val="0"/>
                <w:bCs w:val="0"/>
                <w:sz w:val="24"/>
                <w:szCs w:val="24"/>
                <w:lang w:eastAsia="zh-CN"/>
              </w:rPr>
              <w:t>（提供相关证明）</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16</w:t>
            </w:r>
          </w:p>
        </w:tc>
        <w:tc>
          <w:tcPr>
            <w:tcW w:w="431" w:type="dxa"/>
          </w:tcPr>
          <w:p>
            <w:pPr>
              <w:spacing w:line="320" w:lineRule="exact"/>
              <w:rPr>
                <w:rFonts w:ascii="仿宋" w:hAnsi="仿宋" w:eastAsia="仿宋"/>
                <w:szCs w:val="21"/>
              </w:rPr>
            </w:pPr>
          </w:p>
        </w:tc>
        <w:tc>
          <w:tcPr>
            <w:tcW w:w="6656" w:type="dxa"/>
            <w:vAlign w:val="center"/>
          </w:tcPr>
          <w:p>
            <w:pPr>
              <w:adjustRightInd w:val="0"/>
              <w:snapToGrid w:val="0"/>
              <w:rPr>
                <w:rFonts w:hint="eastAsia" w:ascii="宋体" w:hAnsi="宋体" w:eastAsia="宋体" w:cs="宋体"/>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8"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17</w:t>
            </w:r>
          </w:p>
        </w:tc>
        <w:tc>
          <w:tcPr>
            <w:tcW w:w="431" w:type="dxa"/>
          </w:tcPr>
          <w:p>
            <w:pPr>
              <w:spacing w:line="320" w:lineRule="exact"/>
              <w:rPr>
                <w:rFonts w:ascii="仿宋" w:hAnsi="仿宋" w:eastAsia="仿宋"/>
                <w:szCs w:val="21"/>
              </w:rPr>
            </w:pPr>
          </w:p>
        </w:tc>
        <w:tc>
          <w:tcPr>
            <w:tcW w:w="6656" w:type="dxa"/>
            <w:vAlign w:val="center"/>
          </w:tcPr>
          <w:p>
            <w:pPr>
              <w:adjustRightInd w:val="0"/>
              <w:snapToGrid w:val="0"/>
              <w:rPr>
                <w:rFonts w:hint="eastAsia" w:ascii="宋体" w:hAnsi="宋体" w:eastAsia="宋体" w:cs="宋体"/>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825"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986" w:type="dxa"/>
          </w:tcPr>
          <w:p>
            <w:pPr>
              <w:spacing w:line="320" w:lineRule="exact"/>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500E03A6"/>
    <w:rsid w:val="57A10661"/>
    <w:rsid w:val="68B409C1"/>
    <w:rsid w:val="6D07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jc w:val="center"/>
    </w:pPr>
    <w:rPr>
      <w:rFonts w:ascii="宋体" w:hAnsi="宋体"/>
      <w:b/>
      <w:bCs/>
      <w:color w:val="000000"/>
      <w:sz w:val="7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4</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2021-01-26T00:17:14Z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