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hAnsi="宋体" w:eastAsiaTheme="majorEastAsia"/>
          <w:b/>
          <w:sz w:val="32"/>
          <w:szCs w:val="32"/>
          <w:u w:val="single"/>
          <w:lang w:eastAsia="zh-CN"/>
        </w:rPr>
        <w:t>肠内营养泵</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8"/>
        <w:gridCol w:w="459"/>
        <w:gridCol w:w="7486"/>
        <w:gridCol w:w="440"/>
        <w:gridCol w:w="529"/>
        <w:gridCol w:w="6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1"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5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67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38"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0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203"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58" w:type="dxa"/>
            <w:vMerge w:val="continue"/>
          </w:tcPr>
          <w:p>
            <w:pPr>
              <w:spacing w:line="320" w:lineRule="exact"/>
              <w:rPr>
                <w:rFonts w:ascii="仿宋" w:hAnsi="仿宋" w:eastAsia="仿宋"/>
                <w:szCs w:val="21"/>
              </w:rPr>
            </w:pPr>
          </w:p>
        </w:tc>
        <w:tc>
          <w:tcPr>
            <w:tcW w:w="674" w:type="dxa"/>
            <w:vMerge w:val="continue"/>
          </w:tcPr>
          <w:p>
            <w:pPr>
              <w:spacing w:line="320" w:lineRule="exact"/>
              <w:rPr>
                <w:rFonts w:ascii="仿宋" w:hAnsi="仿宋" w:eastAsia="仿宋"/>
                <w:szCs w:val="21"/>
              </w:rPr>
            </w:pPr>
          </w:p>
        </w:tc>
        <w:tc>
          <w:tcPr>
            <w:tcW w:w="738"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喂养速度范围：1-800ml/h</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喂养精度：±10%</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具有连续喂养模式和间歇喂养模式</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喂养量显示范围：0-9999ml</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冲洗速度：1-800ml/h</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KTO速度：1～30ml/h；KTO速度不高于当前喂养速度。</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7</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具有加温功能</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8</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报警信息：遗忘操作、泵门打开、喂养完成、喂养异常、加温器超温、加温器欠温、加温器未安装、无电池、无外部电源、电池电量低、电池耗尽，即将关机、待机结束、营养液泄漏、充电故障。</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9</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触摸屏操作，方便快捷的人机操作界面</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10</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支持营养液加温，设定温度，喂养更方便舒适</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11</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支持通过无线或有线联网，必须可以与科室现有的中央静脉输注工作联网，实现在中央站静脉工作站统一查看管理。</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12</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关闭加温功能的情况下以25ml/h速度喂养时，连续使用时间不小于8h</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13</w:t>
            </w:r>
          </w:p>
        </w:tc>
        <w:tc>
          <w:tcPr>
            <w:tcW w:w="504" w:type="dxa"/>
          </w:tcPr>
          <w:p>
            <w:pPr>
              <w:spacing w:line="320" w:lineRule="exact"/>
              <w:rPr>
                <w:rFonts w:ascii="仿宋" w:hAnsi="仿宋" w:eastAsia="仿宋"/>
                <w:szCs w:val="21"/>
              </w:rPr>
            </w:pPr>
          </w:p>
        </w:tc>
        <w:tc>
          <w:tcPr>
            <w:tcW w:w="7203" w:type="dxa"/>
          </w:tcPr>
          <w:p>
            <w:pPr>
              <w:adjustRightInd w:val="0"/>
              <w:snapToGrid w:val="0"/>
              <w:rPr>
                <w:rFonts w:ascii="宋体" w:hAnsi="宋体"/>
                <w:sz w:val="24"/>
                <w:szCs w:val="24"/>
              </w:rPr>
            </w:pPr>
            <w:r>
              <w:rPr>
                <w:rFonts w:hint="eastAsia" w:ascii="宋体" w:hAnsi="宋体"/>
                <w:sz w:val="24"/>
                <w:szCs w:val="24"/>
              </w:rPr>
              <w:t>触摸屏操作，数字键盘操作</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4"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14</w:t>
            </w:r>
          </w:p>
        </w:tc>
        <w:tc>
          <w:tcPr>
            <w:tcW w:w="504" w:type="dxa"/>
          </w:tcPr>
          <w:p>
            <w:pPr>
              <w:spacing w:line="320" w:lineRule="exact"/>
              <w:rPr>
                <w:rFonts w:ascii="仿宋" w:hAnsi="仿宋" w:eastAsia="仿宋"/>
                <w:szCs w:val="21"/>
              </w:rPr>
            </w:pPr>
          </w:p>
        </w:tc>
        <w:tc>
          <w:tcPr>
            <w:tcW w:w="7203" w:type="dxa"/>
            <w:vAlign w:val="center"/>
          </w:tcPr>
          <w:p>
            <w:pPr>
              <w:adjustRightInd w:val="0"/>
              <w:snapToGrid w:val="0"/>
              <w:rPr>
                <w:rFonts w:hint="eastAsia" w:ascii="宋体" w:hAnsi="宋体" w:eastAsia="宋体" w:cs="宋体"/>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458" w:type="dxa"/>
          </w:tcPr>
          <w:p>
            <w:pPr>
              <w:spacing w:line="320" w:lineRule="exact"/>
              <w:rPr>
                <w:rFonts w:ascii="仿宋" w:hAnsi="仿宋" w:eastAsia="仿宋"/>
                <w:szCs w:val="21"/>
              </w:rPr>
            </w:pPr>
          </w:p>
        </w:tc>
        <w:tc>
          <w:tcPr>
            <w:tcW w:w="674" w:type="dxa"/>
          </w:tcPr>
          <w:p>
            <w:pPr>
              <w:spacing w:line="320" w:lineRule="exact"/>
              <w:rPr>
                <w:rFonts w:ascii="仿宋" w:hAnsi="仿宋" w:eastAsia="仿宋"/>
                <w:szCs w:val="21"/>
              </w:rPr>
            </w:pPr>
          </w:p>
        </w:tc>
        <w:tc>
          <w:tcPr>
            <w:tcW w:w="738"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15</w:t>
            </w: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eastAsia="宋体" w:cs="宋体"/>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2E5F331E"/>
    <w:rsid w:val="30732574"/>
    <w:rsid w:val="42A83B3F"/>
    <w:rsid w:val="50797861"/>
    <w:rsid w:val="68B409C1"/>
    <w:rsid w:val="7934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3</TotalTime>
  <ScaleCrop>false</ScaleCrop>
  <LinksUpToDate>false</LinksUpToDate>
  <CharactersWithSpaces>929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2021-01-26T00:15:36Z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