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宣传科摄像</w:t>
      </w:r>
      <w:r>
        <w:rPr>
          <w:rFonts w:hint="eastAsia" w:asciiTheme="majorEastAsia" w:hAnsiTheme="majorEastAsia" w:eastAsiaTheme="majorEastAsia"/>
          <w:b/>
          <w:sz w:val="32"/>
          <w:szCs w:val="32"/>
          <w:u w:val="single"/>
        </w:rPr>
        <w:t>设备</w:t>
      </w:r>
      <w:r>
        <w:rPr>
          <w:rFonts w:hint="eastAsia" w:asciiTheme="majorEastAsia" w:hAnsiTheme="majorEastAsia" w:eastAsiaTheme="majorEastAsia"/>
          <w:b/>
          <w:sz w:val="32"/>
          <w:szCs w:val="32"/>
        </w:rPr>
        <w:t>项目初步参数</w:t>
      </w:r>
    </w:p>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3、相关归口科室在发布本征集意见表时原则上应以</w:t>
      </w:r>
      <w:r>
        <w:rPr>
          <w:rFonts w:hint="eastAsia" w:ascii="仿宋" w:hAnsi="仿宋" w:eastAsia="仿宋"/>
          <w:b/>
          <w:szCs w:val="21"/>
          <w:u w:val="single"/>
        </w:rPr>
        <w:t>扫描件形式挂网</w:t>
      </w:r>
      <w:r>
        <w:rPr>
          <w:rFonts w:hint="eastAsia" w:ascii="仿宋" w:hAnsi="仿宋" w:eastAsia="仿宋"/>
          <w:szCs w:val="21"/>
        </w:rPr>
        <w:t>，潜在报名供应商依次：一是下载打印，二是手写建议修改指标和本产品相对应的真实指标【标注是否为独家】，三是每页加盖公章并以扫描件形式在规定时间内发至医院指定邮箱（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w:t>
      </w:r>
      <w:r>
        <w:rPr>
          <w:rFonts w:hint="eastAsia" w:ascii="Segoe UI Symbol" w:hAnsi="Segoe UI Symbol" w:eastAsia="Segoe UI Symbol"/>
          <w:szCs w:val="21"/>
        </w:rPr>
        <w:t>☑</w:t>
      </w:r>
      <w:r>
        <w:rPr>
          <w:rFonts w:hint="eastAsia" w:ascii="仿宋" w:hAnsi="仿宋" w:eastAsia="仿宋"/>
          <w:szCs w:val="21"/>
        </w:rPr>
        <w:t>、总务科□及其他□</w:t>
      </w:r>
      <w:r>
        <w:rPr>
          <w:rFonts w:hint="eastAsia" w:ascii="仿宋" w:hAnsi="仿宋" w:eastAsia="仿宋"/>
          <w:szCs w:val="21"/>
          <w:u w:val="single"/>
        </w:rPr>
        <w:t xml:space="preserve">   </w:t>
      </w:r>
      <w:r>
        <w:rPr>
          <w:rFonts w:hint="eastAsia" w:ascii="仿宋" w:hAnsi="仿宋" w:eastAsia="仿宋"/>
          <w:szCs w:val="21"/>
        </w:rPr>
        <w:t>】：</w:t>
      </w:r>
      <w:r>
        <w:fldChar w:fldCharType="begin"/>
      </w:r>
      <w:r>
        <w:instrText xml:space="preserve"> HYPERLINK "mailto:175739469@qq.com" </w:instrText>
      </w:r>
      <w:r>
        <w:fldChar w:fldCharType="separate"/>
      </w:r>
      <w:r>
        <w:rPr>
          <w:rStyle w:val="7"/>
          <w:rFonts w:hint="eastAsia" w:ascii="仿宋" w:hAnsi="仿宋" w:eastAsia="仿宋"/>
          <w:color w:val="auto"/>
          <w:szCs w:val="21"/>
          <w:u w:val="none"/>
          <w:lang w:val="en-US" w:eastAsia="zh-CN"/>
        </w:rPr>
        <w:t>790310373</w:t>
      </w:r>
      <w:r>
        <w:rPr>
          <w:rStyle w:val="7"/>
          <w:rFonts w:ascii="仿宋" w:hAnsi="仿宋" w:eastAsia="仿宋"/>
          <w:color w:val="auto"/>
          <w:szCs w:val="21"/>
          <w:u w:val="none"/>
        </w:rPr>
        <w:t>@qq.com</w:t>
      </w:r>
      <w:r>
        <w:rPr>
          <w:rStyle w:val="7"/>
          <w:rFonts w:ascii="仿宋" w:hAnsi="仿宋" w:eastAsia="仿宋"/>
          <w:color w:val="auto"/>
          <w:szCs w:val="21"/>
          <w:u w:val="none"/>
        </w:rPr>
        <w:fldChar w:fldCharType="end"/>
      </w:r>
      <w:r>
        <w:rPr>
          <w:rFonts w:ascii="仿宋" w:hAnsi="仿宋" w:eastAsia="仿宋"/>
          <w:szCs w:val="21"/>
        </w:rPr>
        <w:t>(</w:t>
      </w:r>
      <w:r>
        <w:rPr>
          <w:rFonts w:hint="eastAsia" w:ascii="仿宋" w:hAnsi="仿宋" w:eastAsia="仿宋"/>
          <w:szCs w:val="21"/>
        </w:rPr>
        <w:t>两个</w:t>
      </w:r>
      <w:r>
        <w:rPr>
          <w:rFonts w:ascii="仿宋" w:hAnsi="仿宋" w:eastAsia="仿宋"/>
          <w:szCs w:val="21"/>
        </w:rPr>
        <w:t>邮箱都需要发送)</w:t>
      </w:r>
      <w:r>
        <w:rPr>
          <w:rFonts w:hint="eastAsia" w:ascii="仿宋" w:hAnsi="仿宋" w:eastAsia="仿宋"/>
          <w:szCs w:val="21"/>
        </w:rPr>
        <w:t>。</w:t>
      </w:r>
    </w:p>
    <w:p>
      <w:pPr>
        <w:spacing w:line="320" w:lineRule="exact"/>
        <w:rPr>
          <w:rFonts w:ascii="仿宋" w:hAnsi="仿宋" w:eastAsia="仿宋"/>
          <w:szCs w:val="21"/>
        </w:rPr>
      </w:pPr>
    </w:p>
    <w:p>
      <w:pPr>
        <w:spacing w:line="320" w:lineRule="exact"/>
        <w:rPr>
          <w:rFonts w:hint="eastAsia"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261"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708" w:type="dxa"/>
            <w:vMerge w:val="continue"/>
          </w:tcPr>
          <w:p>
            <w:pPr>
              <w:spacing w:line="320" w:lineRule="exact"/>
              <w:rPr>
                <w:rFonts w:ascii="仿宋" w:hAnsi="仿宋" w:eastAsia="仿宋"/>
                <w:szCs w:val="21"/>
              </w:rPr>
            </w:pPr>
          </w:p>
        </w:tc>
        <w:tc>
          <w:tcPr>
            <w:tcW w:w="2694"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rPr>
                <w:rFonts w:ascii="仿宋" w:hAnsi="仿宋" w:eastAsia="仿宋" w:cs="宋体"/>
                <w:kern w:val="0"/>
                <w:sz w:val="18"/>
                <w:szCs w:val="18"/>
              </w:rPr>
            </w:pPr>
            <w:r>
              <w:rPr>
                <w:rFonts w:hint="eastAsia" w:ascii="仿宋" w:hAnsi="仿宋" w:eastAsia="仿宋" w:cs="宋体"/>
                <w:kern w:val="0"/>
                <w:sz w:val="18"/>
                <w:szCs w:val="18"/>
              </w:rPr>
              <w:t>1</w:t>
            </w:r>
          </w:p>
        </w:tc>
        <w:tc>
          <w:tcPr>
            <w:tcW w:w="1134" w:type="dxa"/>
          </w:tcPr>
          <w:p>
            <w:pPr>
              <w:rPr>
                <w:rFonts w:hint="eastAsia" w:ascii="仿宋" w:hAnsi="仿宋" w:eastAsia="仿宋" w:cs="宋体"/>
                <w:kern w:val="0"/>
                <w:sz w:val="18"/>
                <w:szCs w:val="18"/>
                <w:lang w:eastAsia="zh-CN"/>
              </w:rPr>
            </w:pPr>
            <w:r>
              <w:rPr>
                <w:rFonts w:hint="eastAsia" w:ascii="仿宋" w:hAnsi="仿宋" w:eastAsia="仿宋" w:cs="宋体"/>
                <w:kern w:val="0"/>
                <w:sz w:val="18"/>
                <w:szCs w:val="18"/>
                <w:lang w:eastAsia="zh-CN"/>
              </w:rPr>
              <w:t>数码摄像机</w:t>
            </w:r>
          </w:p>
        </w:tc>
        <w:tc>
          <w:tcPr>
            <w:tcW w:w="3261" w:type="dxa"/>
          </w:tcPr>
          <w:p>
            <w:pPr>
              <w:rPr>
                <w:rFonts w:ascii="仿宋" w:hAnsi="仿宋" w:eastAsia="仿宋" w:cs="宋体"/>
                <w:kern w:val="0"/>
                <w:sz w:val="18"/>
                <w:szCs w:val="18"/>
              </w:rPr>
            </w:pPr>
            <w:r>
              <w:rPr>
                <w:rFonts w:hint="eastAsia" w:ascii="仿宋" w:hAnsi="仿宋" w:eastAsia="仿宋" w:cs="宋体"/>
                <w:kern w:val="0"/>
                <w:sz w:val="18"/>
                <w:szCs w:val="18"/>
              </w:rPr>
              <w:t>主要参数</w:t>
            </w:r>
          </w:p>
          <w:p>
            <w:pPr>
              <w:numPr>
                <w:ilvl w:val="0"/>
                <w:numId w:val="2"/>
              </w:numPr>
              <w:ind w:left="425" w:leftChars="0" w:hanging="425" w:firstLineChars="0"/>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支持4K视频拍摄</w:t>
            </w:r>
          </w:p>
          <w:p>
            <w:pPr>
              <w:numPr>
                <w:ilvl w:val="0"/>
                <w:numId w:val="2"/>
              </w:numPr>
              <w:ind w:left="425" w:leftChars="0" w:hanging="425" w:firstLineChars="0"/>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光学变焦不低于10倍</w:t>
            </w:r>
          </w:p>
          <w:p>
            <w:pPr>
              <w:numPr>
                <w:ilvl w:val="0"/>
                <w:numId w:val="2"/>
              </w:numPr>
              <w:ind w:left="425" w:leftChars="0" w:hanging="425" w:firstLineChars="0"/>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总像素不低于1200万</w:t>
            </w:r>
          </w:p>
          <w:p>
            <w:pPr>
              <w:numPr>
                <w:ilvl w:val="0"/>
                <w:numId w:val="2"/>
              </w:numPr>
              <w:ind w:left="425" w:leftChars="0" w:hanging="425" w:firstLineChars="0"/>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有效像素不低于800万</w:t>
            </w:r>
          </w:p>
          <w:p>
            <w:pPr>
              <w:numPr>
                <w:ilvl w:val="0"/>
                <w:numId w:val="2"/>
              </w:numPr>
              <w:ind w:left="425" w:leftChars="0" w:hanging="425" w:firstLineChars="0"/>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支持图像防抖功能</w:t>
            </w:r>
          </w:p>
          <w:p>
            <w:pPr>
              <w:numPr>
                <w:ilvl w:val="0"/>
                <w:numId w:val="2"/>
              </w:numPr>
              <w:ind w:left="425" w:leftChars="0" w:hanging="425" w:firstLineChars="0"/>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支持自动/手动变焦</w:t>
            </w:r>
          </w:p>
          <w:p>
            <w:pPr>
              <w:numPr>
                <w:ilvl w:val="0"/>
                <w:numId w:val="2"/>
              </w:numPr>
              <w:ind w:left="425" w:leftChars="0" w:hanging="425" w:firstLineChars="0"/>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内置麦克风</w:t>
            </w:r>
          </w:p>
          <w:p>
            <w:pPr>
              <w:numPr>
                <w:ilvl w:val="0"/>
                <w:numId w:val="2"/>
              </w:numPr>
              <w:ind w:left="425" w:leftChars="0" w:hanging="425" w:firstLineChars="0"/>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支持WiFi/NFC</w:t>
            </w:r>
          </w:p>
          <w:p>
            <w:pPr>
              <w:numPr>
                <w:ilvl w:val="0"/>
                <w:numId w:val="2"/>
              </w:numPr>
              <w:ind w:left="425" w:leftChars="0" w:hanging="425" w:firstLineChars="0"/>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 xml:space="preserve">音频输入：支持XLR ，线路/麦克风/麦克风 +48 V </w:t>
            </w:r>
          </w:p>
          <w:p>
            <w:pPr>
              <w:numPr>
                <w:ilvl w:val="0"/>
                <w:numId w:val="2"/>
              </w:numPr>
              <w:ind w:left="425" w:leftChars="0" w:hanging="425" w:firstLineChars="0"/>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支持音频输出</w:t>
            </w:r>
          </w:p>
          <w:p>
            <w:pPr>
              <w:numPr>
                <w:ilvl w:val="0"/>
                <w:numId w:val="2"/>
              </w:numPr>
              <w:ind w:left="425" w:leftChars="0" w:hanging="425" w:firstLineChars="0"/>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支持SDI输出</w:t>
            </w:r>
          </w:p>
          <w:p>
            <w:pPr>
              <w:numPr>
                <w:ilvl w:val="0"/>
                <w:numId w:val="2"/>
              </w:numPr>
              <w:ind w:left="425" w:leftChars="0" w:hanging="425" w:firstLineChars="0"/>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支持HDMI输出</w:t>
            </w:r>
          </w:p>
          <w:p>
            <w:pPr>
              <w:numPr>
                <w:ilvl w:val="0"/>
                <w:numId w:val="2"/>
              </w:numPr>
              <w:ind w:left="425" w:leftChars="0" w:hanging="425" w:firstLineChars="0"/>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支持耳机输出</w:t>
            </w:r>
          </w:p>
          <w:p>
            <w:pPr>
              <w:numPr>
                <w:ilvl w:val="0"/>
                <w:numId w:val="2"/>
              </w:numPr>
              <w:ind w:left="425" w:leftChars="0" w:hanging="425" w:firstLineChars="0"/>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支持扬声器输出</w:t>
            </w:r>
          </w:p>
          <w:p>
            <w:pPr>
              <w:numPr>
                <w:ilvl w:val="0"/>
                <w:numId w:val="2"/>
              </w:numPr>
              <w:ind w:left="425" w:leftChars="0" w:hanging="425" w:firstLineChars="0"/>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支持远程控制</w:t>
            </w:r>
          </w:p>
          <w:p>
            <w:pPr>
              <w:numPr>
                <w:ilvl w:val="0"/>
                <w:numId w:val="2"/>
              </w:numPr>
              <w:ind w:left="425" w:leftChars="0" w:hanging="425" w:firstLineChars="0"/>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记录介质支持MS/SD,SD</w:t>
            </w:r>
          </w:p>
          <w:p>
            <w:pPr>
              <w:rPr>
                <w:rFonts w:ascii="仿宋" w:hAnsi="仿宋" w:eastAsia="仿宋" w:cs="宋体"/>
                <w:kern w:val="0"/>
                <w:sz w:val="18"/>
                <w:szCs w:val="18"/>
              </w:rPr>
            </w:pPr>
            <w:r>
              <w:rPr>
                <w:rFonts w:hint="eastAsia" w:ascii="仿宋" w:hAnsi="仿宋" w:eastAsia="仿宋" w:cs="宋体"/>
                <w:kern w:val="0"/>
                <w:sz w:val="18"/>
                <w:szCs w:val="18"/>
              </w:rPr>
              <w:t>备注：供货日期需在机器生产日期三个月内,供货机器必须为原厂未拆封。享受全国联保，三包服务</w:t>
            </w:r>
            <w:r>
              <w:rPr>
                <w:rFonts w:hint="eastAsia" w:ascii="仿宋" w:hAnsi="仿宋" w:eastAsia="仿宋" w:cs="宋体"/>
                <w:kern w:val="0"/>
                <w:sz w:val="18"/>
                <w:szCs w:val="18"/>
                <w:lang w:eastAsia="zh-CN"/>
              </w:rPr>
              <w:t>，配送原装</w:t>
            </w:r>
            <w:r>
              <w:rPr>
                <w:rFonts w:hint="eastAsia" w:ascii="仿宋" w:hAnsi="仿宋" w:eastAsia="仿宋" w:cs="宋体"/>
                <w:kern w:val="0"/>
                <w:sz w:val="18"/>
                <w:szCs w:val="18"/>
                <w:lang w:val="en-US" w:eastAsia="zh-CN"/>
              </w:rPr>
              <w:t>256G SD卡、摄像包、UV镜、屏幕膜</w:t>
            </w:r>
            <w:r>
              <w:rPr>
                <w:rFonts w:hint="eastAsia" w:ascii="仿宋" w:hAnsi="仿宋" w:eastAsia="仿宋" w:cs="宋体"/>
                <w:kern w:val="0"/>
                <w:sz w:val="18"/>
                <w:szCs w:val="18"/>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rPr>
                <w:rFonts w:ascii="仿宋" w:hAnsi="仿宋" w:eastAsia="仿宋" w:cs="宋体"/>
                <w:kern w:val="0"/>
                <w:sz w:val="18"/>
                <w:szCs w:val="18"/>
              </w:rPr>
            </w:pPr>
            <w:r>
              <w:rPr>
                <w:rFonts w:hint="eastAsia" w:ascii="仿宋" w:hAnsi="仿宋" w:eastAsia="仿宋" w:cs="宋体"/>
                <w:kern w:val="0"/>
                <w:sz w:val="18"/>
                <w:szCs w:val="18"/>
              </w:rPr>
              <w:t>2</w:t>
            </w:r>
          </w:p>
        </w:tc>
        <w:tc>
          <w:tcPr>
            <w:tcW w:w="1134" w:type="dxa"/>
          </w:tcPr>
          <w:p>
            <w:pPr>
              <w:rPr>
                <w:rFonts w:ascii="仿宋" w:hAnsi="仿宋" w:eastAsia="仿宋" w:cs="宋体"/>
                <w:kern w:val="0"/>
                <w:sz w:val="18"/>
                <w:szCs w:val="18"/>
              </w:rPr>
            </w:pPr>
            <w:r>
              <w:rPr>
                <w:rFonts w:hint="eastAsia" w:ascii="仿宋" w:hAnsi="仿宋" w:eastAsia="仿宋" w:cs="宋体"/>
                <w:kern w:val="0"/>
                <w:sz w:val="18"/>
                <w:szCs w:val="18"/>
              </w:rPr>
              <w:t>备注</w:t>
            </w:r>
          </w:p>
        </w:tc>
        <w:tc>
          <w:tcPr>
            <w:tcW w:w="3261" w:type="dxa"/>
          </w:tcPr>
          <w:p>
            <w:r>
              <w:rPr>
                <w:rFonts w:hint="eastAsia" w:ascii="仿宋" w:hAnsi="仿宋" w:eastAsia="仿宋" w:cs="宋体"/>
                <w:kern w:val="0"/>
                <w:sz w:val="18"/>
                <w:szCs w:val="18"/>
              </w:rPr>
              <w:t>合同</w:t>
            </w:r>
            <w:r>
              <w:rPr>
                <w:rFonts w:ascii="仿宋" w:hAnsi="仿宋" w:eastAsia="仿宋" w:cs="宋体"/>
                <w:kern w:val="0"/>
                <w:sz w:val="18"/>
                <w:szCs w:val="18"/>
              </w:rPr>
              <w:t>签订后</w:t>
            </w:r>
            <w:r>
              <w:rPr>
                <w:rFonts w:hint="eastAsia" w:ascii="仿宋" w:hAnsi="仿宋" w:eastAsia="仿宋" w:cs="宋体"/>
                <w:kern w:val="0"/>
                <w:sz w:val="18"/>
                <w:szCs w:val="18"/>
              </w:rPr>
              <w:t>7个</w:t>
            </w:r>
            <w:r>
              <w:rPr>
                <w:rFonts w:ascii="仿宋" w:hAnsi="仿宋" w:eastAsia="仿宋" w:cs="宋体"/>
                <w:kern w:val="0"/>
                <w:sz w:val="18"/>
                <w:szCs w:val="18"/>
              </w:rPr>
              <w:t>工作日内</w:t>
            </w:r>
            <w:r>
              <w:rPr>
                <w:rFonts w:hint="eastAsia" w:ascii="仿宋" w:hAnsi="仿宋" w:eastAsia="仿宋" w:cs="宋体"/>
                <w:kern w:val="0"/>
                <w:sz w:val="18"/>
                <w:szCs w:val="18"/>
              </w:rPr>
              <w:t>可供货并安装调试完毕。</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5"/>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bookmarkStart w:id="0" w:name="_GoBack"/>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9"/>
      <w:numFmt w:val="decimal"/>
      <w:pStyle w:val="10"/>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B0A6EDB"/>
    <w:multiLevelType w:val="singleLevel"/>
    <w:tmpl w:val="3B0A6EDB"/>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DB4"/>
    <w:rsid w:val="00001318"/>
    <w:rsid w:val="00002283"/>
    <w:rsid w:val="00002704"/>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082"/>
    <w:rsid w:val="001B0660"/>
    <w:rsid w:val="001B24DD"/>
    <w:rsid w:val="001B56D9"/>
    <w:rsid w:val="001B6C8A"/>
    <w:rsid w:val="001D39E4"/>
    <w:rsid w:val="001D4FEB"/>
    <w:rsid w:val="001D54F8"/>
    <w:rsid w:val="001E2B39"/>
    <w:rsid w:val="001F2DD0"/>
    <w:rsid w:val="001F34DF"/>
    <w:rsid w:val="001F4EB8"/>
    <w:rsid w:val="001F6DDD"/>
    <w:rsid w:val="00201754"/>
    <w:rsid w:val="002071B0"/>
    <w:rsid w:val="00213A9E"/>
    <w:rsid w:val="002160CC"/>
    <w:rsid w:val="002167A8"/>
    <w:rsid w:val="00220DFE"/>
    <w:rsid w:val="002220EC"/>
    <w:rsid w:val="002251AD"/>
    <w:rsid w:val="00226CF3"/>
    <w:rsid w:val="002451BD"/>
    <w:rsid w:val="00261754"/>
    <w:rsid w:val="00264875"/>
    <w:rsid w:val="00273463"/>
    <w:rsid w:val="0027592C"/>
    <w:rsid w:val="00276C68"/>
    <w:rsid w:val="0028637D"/>
    <w:rsid w:val="002A02DF"/>
    <w:rsid w:val="002A1DD3"/>
    <w:rsid w:val="002A7CA5"/>
    <w:rsid w:val="002B0105"/>
    <w:rsid w:val="002B077D"/>
    <w:rsid w:val="002C5A78"/>
    <w:rsid w:val="002C613D"/>
    <w:rsid w:val="002D3C54"/>
    <w:rsid w:val="002E5FE9"/>
    <w:rsid w:val="002F1DC9"/>
    <w:rsid w:val="002F33AA"/>
    <w:rsid w:val="002F4594"/>
    <w:rsid w:val="002F46AF"/>
    <w:rsid w:val="003035B7"/>
    <w:rsid w:val="00305A35"/>
    <w:rsid w:val="00307C82"/>
    <w:rsid w:val="0031412D"/>
    <w:rsid w:val="00326CBC"/>
    <w:rsid w:val="003355F4"/>
    <w:rsid w:val="0038532F"/>
    <w:rsid w:val="0039110A"/>
    <w:rsid w:val="00397F20"/>
    <w:rsid w:val="003A0037"/>
    <w:rsid w:val="003A4ABD"/>
    <w:rsid w:val="003A4DFC"/>
    <w:rsid w:val="003B2393"/>
    <w:rsid w:val="003B5AB4"/>
    <w:rsid w:val="003C18D1"/>
    <w:rsid w:val="003D1758"/>
    <w:rsid w:val="003D4C81"/>
    <w:rsid w:val="003D6E3F"/>
    <w:rsid w:val="003D7845"/>
    <w:rsid w:val="003E0078"/>
    <w:rsid w:val="003E0AE6"/>
    <w:rsid w:val="003E0D05"/>
    <w:rsid w:val="003E309A"/>
    <w:rsid w:val="003F043B"/>
    <w:rsid w:val="003F1A9D"/>
    <w:rsid w:val="00407847"/>
    <w:rsid w:val="00411CFD"/>
    <w:rsid w:val="00424DB4"/>
    <w:rsid w:val="00445BF7"/>
    <w:rsid w:val="00457EBA"/>
    <w:rsid w:val="004767E6"/>
    <w:rsid w:val="00481DEA"/>
    <w:rsid w:val="004842A3"/>
    <w:rsid w:val="00485FE3"/>
    <w:rsid w:val="00486565"/>
    <w:rsid w:val="00495095"/>
    <w:rsid w:val="004A0993"/>
    <w:rsid w:val="004A5436"/>
    <w:rsid w:val="004B1150"/>
    <w:rsid w:val="004B3164"/>
    <w:rsid w:val="004B3DBC"/>
    <w:rsid w:val="004B5CAC"/>
    <w:rsid w:val="004C1CF2"/>
    <w:rsid w:val="004C4760"/>
    <w:rsid w:val="004C6035"/>
    <w:rsid w:val="004D5C73"/>
    <w:rsid w:val="004E1B33"/>
    <w:rsid w:val="004E2A85"/>
    <w:rsid w:val="00507F02"/>
    <w:rsid w:val="00511A86"/>
    <w:rsid w:val="00514522"/>
    <w:rsid w:val="005145B6"/>
    <w:rsid w:val="005155A7"/>
    <w:rsid w:val="005158E8"/>
    <w:rsid w:val="00521EA3"/>
    <w:rsid w:val="00523A9D"/>
    <w:rsid w:val="0052437C"/>
    <w:rsid w:val="005250A2"/>
    <w:rsid w:val="0052798A"/>
    <w:rsid w:val="00545065"/>
    <w:rsid w:val="005612E4"/>
    <w:rsid w:val="00566A3D"/>
    <w:rsid w:val="00575D2D"/>
    <w:rsid w:val="00577E01"/>
    <w:rsid w:val="005818F0"/>
    <w:rsid w:val="0058339A"/>
    <w:rsid w:val="005870D6"/>
    <w:rsid w:val="00594BE5"/>
    <w:rsid w:val="00596FF5"/>
    <w:rsid w:val="00597228"/>
    <w:rsid w:val="0059737C"/>
    <w:rsid w:val="005A36BC"/>
    <w:rsid w:val="005A5561"/>
    <w:rsid w:val="005B4E7B"/>
    <w:rsid w:val="005B4F92"/>
    <w:rsid w:val="005C0C29"/>
    <w:rsid w:val="005D1B60"/>
    <w:rsid w:val="005D47E2"/>
    <w:rsid w:val="005F08E9"/>
    <w:rsid w:val="005F0ECD"/>
    <w:rsid w:val="00611588"/>
    <w:rsid w:val="006149F3"/>
    <w:rsid w:val="006251F2"/>
    <w:rsid w:val="00626067"/>
    <w:rsid w:val="00630F0B"/>
    <w:rsid w:val="006315D9"/>
    <w:rsid w:val="006401B3"/>
    <w:rsid w:val="006425D3"/>
    <w:rsid w:val="00644477"/>
    <w:rsid w:val="00646EFF"/>
    <w:rsid w:val="006472D6"/>
    <w:rsid w:val="0065390A"/>
    <w:rsid w:val="00655DD8"/>
    <w:rsid w:val="0065619A"/>
    <w:rsid w:val="00656F9B"/>
    <w:rsid w:val="00673D9E"/>
    <w:rsid w:val="00674E19"/>
    <w:rsid w:val="006751A9"/>
    <w:rsid w:val="006A1E6F"/>
    <w:rsid w:val="006A254E"/>
    <w:rsid w:val="006A2E83"/>
    <w:rsid w:val="006B00DE"/>
    <w:rsid w:val="006B5D2A"/>
    <w:rsid w:val="006D1CF2"/>
    <w:rsid w:val="006D2949"/>
    <w:rsid w:val="006D5CA6"/>
    <w:rsid w:val="006E3CE4"/>
    <w:rsid w:val="007011B1"/>
    <w:rsid w:val="00703D37"/>
    <w:rsid w:val="00706052"/>
    <w:rsid w:val="007074BD"/>
    <w:rsid w:val="00715BE8"/>
    <w:rsid w:val="0072140C"/>
    <w:rsid w:val="00721B3C"/>
    <w:rsid w:val="00731D22"/>
    <w:rsid w:val="00737BD3"/>
    <w:rsid w:val="00745B6A"/>
    <w:rsid w:val="007500BF"/>
    <w:rsid w:val="0075154A"/>
    <w:rsid w:val="00753C9D"/>
    <w:rsid w:val="00757F42"/>
    <w:rsid w:val="00770BFB"/>
    <w:rsid w:val="007715BC"/>
    <w:rsid w:val="00772C38"/>
    <w:rsid w:val="00776FB7"/>
    <w:rsid w:val="0077720D"/>
    <w:rsid w:val="007779D1"/>
    <w:rsid w:val="0078294C"/>
    <w:rsid w:val="0078396A"/>
    <w:rsid w:val="00783988"/>
    <w:rsid w:val="00791ED1"/>
    <w:rsid w:val="00792F55"/>
    <w:rsid w:val="00796F23"/>
    <w:rsid w:val="007A2200"/>
    <w:rsid w:val="007B000A"/>
    <w:rsid w:val="007B2BF5"/>
    <w:rsid w:val="007B44F5"/>
    <w:rsid w:val="007C0F20"/>
    <w:rsid w:val="007C64E2"/>
    <w:rsid w:val="007C77D2"/>
    <w:rsid w:val="007F466A"/>
    <w:rsid w:val="007F72EE"/>
    <w:rsid w:val="0080420A"/>
    <w:rsid w:val="00804708"/>
    <w:rsid w:val="008056D0"/>
    <w:rsid w:val="00811886"/>
    <w:rsid w:val="0082166B"/>
    <w:rsid w:val="00824B71"/>
    <w:rsid w:val="0082730F"/>
    <w:rsid w:val="00847753"/>
    <w:rsid w:val="00847A3B"/>
    <w:rsid w:val="0085631E"/>
    <w:rsid w:val="00864B32"/>
    <w:rsid w:val="00865BB3"/>
    <w:rsid w:val="00874654"/>
    <w:rsid w:val="00882830"/>
    <w:rsid w:val="00886F21"/>
    <w:rsid w:val="00890A8A"/>
    <w:rsid w:val="0089397B"/>
    <w:rsid w:val="0089602A"/>
    <w:rsid w:val="008A6728"/>
    <w:rsid w:val="008B0511"/>
    <w:rsid w:val="008B5062"/>
    <w:rsid w:val="008B6746"/>
    <w:rsid w:val="008D74CA"/>
    <w:rsid w:val="008E046E"/>
    <w:rsid w:val="008F3959"/>
    <w:rsid w:val="008F4405"/>
    <w:rsid w:val="00903E1D"/>
    <w:rsid w:val="00905854"/>
    <w:rsid w:val="0091705B"/>
    <w:rsid w:val="009170A5"/>
    <w:rsid w:val="00917314"/>
    <w:rsid w:val="00917684"/>
    <w:rsid w:val="00927E50"/>
    <w:rsid w:val="00931285"/>
    <w:rsid w:val="00932055"/>
    <w:rsid w:val="00934412"/>
    <w:rsid w:val="0094514A"/>
    <w:rsid w:val="00947416"/>
    <w:rsid w:val="009660AE"/>
    <w:rsid w:val="0097447A"/>
    <w:rsid w:val="00975AC7"/>
    <w:rsid w:val="00983A74"/>
    <w:rsid w:val="0098543F"/>
    <w:rsid w:val="009865B1"/>
    <w:rsid w:val="00986D55"/>
    <w:rsid w:val="00993FE8"/>
    <w:rsid w:val="00996932"/>
    <w:rsid w:val="009B0355"/>
    <w:rsid w:val="009B36A3"/>
    <w:rsid w:val="009B70B7"/>
    <w:rsid w:val="009E2359"/>
    <w:rsid w:val="009E4466"/>
    <w:rsid w:val="00A024EE"/>
    <w:rsid w:val="00A069B9"/>
    <w:rsid w:val="00A11A36"/>
    <w:rsid w:val="00A14A81"/>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0828"/>
    <w:rsid w:val="00B110AE"/>
    <w:rsid w:val="00B117A1"/>
    <w:rsid w:val="00B171AD"/>
    <w:rsid w:val="00B21A8C"/>
    <w:rsid w:val="00B2560D"/>
    <w:rsid w:val="00B25C0A"/>
    <w:rsid w:val="00B41383"/>
    <w:rsid w:val="00B42CFE"/>
    <w:rsid w:val="00B43273"/>
    <w:rsid w:val="00B43844"/>
    <w:rsid w:val="00B4445A"/>
    <w:rsid w:val="00B4619C"/>
    <w:rsid w:val="00B51795"/>
    <w:rsid w:val="00B51940"/>
    <w:rsid w:val="00B52B62"/>
    <w:rsid w:val="00B56A04"/>
    <w:rsid w:val="00B62D53"/>
    <w:rsid w:val="00B72BFD"/>
    <w:rsid w:val="00B73A12"/>
    <w:rsid w:val="00B90A21"/>
    <w:rsid w:val="00BA2652"/>
    <w:rsid w:val="00BA62D7"/>
    <w:rsid w:val="00BB301F"/>
    <w:rsid w:val="00BB7B4B"/>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3B18"/>
    <w:rsid w:val="00CA4609"/>
    <w:rsid w:val="00CB709F"/>
    <w:rsid w:val="00CC277B"/>
    <w:rsid w:val="00CE0038"/>
    <w:rsid w:val="00CE7DE7"/>
    <w:rsid w:val="00CF101E"/>
    <w:rsid w:val="00CF5F8A"/>
    <w:rsid w:val="00CF79D1"/>
    <w:rsid w:val="00D0249F"/>
    <w:rsid w:val="00D07B5F"/>
    <w:rsid w:val="00D226CF"/>
    <w:rsid w:val="00D27C90"/>
    <w:rsid w:val="00D303AF"/>
    <w:rsid w:val="00D43C95"/>
    <w:rsid w:val="00D51D39"/>
    <w:rsid w:val="00D535B5"/>
    <w:rsid w:val="00D53FD5"/>
    <w:rsid w:val="00D668DA"/>
    <w:rsid w:val="00D7257F"/>
    <w:rsid w:val="00D80CC2"/>
    <w:rsid w:val="00DA4FE2"/>
    <w:rsid w:val="00DB09D0"/>
    <w:rsid w:val="00DB3885"/>
    <w:rsid w:val="00DB4D34"/>
    <w:rsid w:val="00DD33CC"/>
    <w:rsid w:val="00DD5B7C"/>
    <w:rsid w:val="00DD79ED"/>
    <w:rsid w:val="00DD7BBA"/>
    <w:rsid w:val="00DF3FEC"/>
    <w:rsid w:val="00DF5019"/>
    <w:rsid w:val="00E0491B"/>
    <w:rsid w:val="00E04C87"/>
    <w:rsid w:val="00E17D14"/>
    <w:rsid w:val="00E20590"/>
    <w:rsid w:val="00E2199E"/>
    <w:rsid w:val="00E26EB1"/>
    <w:rsid w:val="00E2747B"/>
    <w:rsid w:val="00E27736"/>
    <w:rsid w:val="00E3091F"/>
    <w:rsid w:val="00E35D35"/>
    <w:rsid w:val="00E42660"/>
    <w:rsid w:val="00E44632"/>
    <w:rsid w:val="00E50A2F"/>
    <w:rsid w:val="00E5252D"/>
    <w:rsid w:val="00E53B0F"/>
    <w:rsid w:val="00E60E8E"/>
    <w:rsid w:val="00E62C04"/>
    <w:rsid w:val="00E677FB"/>
    <w:rsid w:val="00E713B4"/>
    <w:rsid w:val="00E762F5"/>
    <w:rsid w:val="00E77981"/>
    <w:rsid w:val="00E812AF"/>
    <w:rsid w:val="00E83046"/>
    <w:rsid w:val="00E86D0C"/>
    <w:rsid w:val="00E902E2"/>
    <w:rsid w:val="00EA6D84"/>
    <w:rsid w:val="00EB5340"/>
    <w:rsid w:val="00EB7E92"/>
    <w:rsid w:val="00EC0382"/>
    <w:rsid w:val="00EC45C7"/>
    <w:rsid w:val="00EC61EC"/>
    <w:rsid w:val="00EC6457"/>
    <w:rsid w:val="00ED4994"/>
    <w:rsid w:val="00ED5D97"/>
    <w:rsid w:val="00ED6ABB"/>
    <w:rsid w:val="00EE67EB"/>
    <w:rsid w:val="00EE7835"/>
    <w:rsid w:val="00EF2765"/>
    <w:rsid w:val="00EF2F2B"/>
    <w:rsid w:val="00EF39C8"/>
    <w:rsid w:val="00EF6BE6"/>
    <w:rsid w:val="00F00F2B"/>
    <w:rsid w:val="00F078BB"/>
    <w:rsid w:val="00F10A17"/>
    <w:rsid w:val="00F154E9"/>
    <w:rsid w:val="00F20717"/>
    <w:rsid w:val="00F26589"/>
    <w:rsid w:val="00F37FC0"/>
    <w:rsid w:val="00F63443"/>
    <w:rsid w:val="00F6398F"/>
    <w:rsid w:val="00F649E1"/>
    <w:rsid w:val="00F65364"/>
    <w:rsid w:val="00F7717C"/>
    <w:rsid w:val="00F86F94"/>
    <w:rsid w:val="00F9157F"/>
    <w:rsid w:val="00FA2E94"/>
    <w:rsid w:val="00FB550C"/>
    <w:rsid w:val="00FB5CEF"/>
    <w:rsid w:val="00FC25F4"/>
    <w:rsid w:val="00FD192E"/>
    <w:rsid w:val="00FD1B59"/>
    <w:rsid w:val="00FE5B5E"/>
    <w:rsid w:val="00FE5E56"/>
    <w:rsid w:val="00FF1969"/>
    <w:rsid w:val="00FF5778"/>
    <w:rsid w:val="590C7D85"/>
    <w:rsid w:val="79846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7">
    <w:name w:val="Hyperlink"/>
    <w:basedOn w:val="6"/>
    <w:unhideWhenUsed/>
    <w:uiPriority w:val="99"/>
    <w:rPr>
      <w:color w:val="0000FF" w:themeColor="hyperlink"/>
      <w:u w:val="single"/>
      <w14:textFill>
        <w14:solidFill>
          <w14:schemeClr w14:val="hlink"/>
        </w14:solidFill>
      </w14:textFill>
    </w:rPr>
  </w:style>
  <w:style w:type="character" w:customStyle="1" w:styleId="8">
    <w:name w:val="页眉 Char"/>
    <w:basedOn w:val="6"/>
    <w:link w:val="3"/>
    <w:uiPriority w:val="99"/>
    <w:rPr>
      <w:sz w:val="18"/>
      <w:szCs w:val="18"/>
    </w:rPr>
  </w:style>
  <w:style w:type="character" w:customStyle="1" w:styleId="9">
    <w:name w:val="页脚 Char"/>
    <w:basedOn w:val="6"/>
    <w:link w:val="2"/>
    <w:qFormat/>
    <w:uiPriority w:val="99"/>
    <w:rPr>
      <w:sz w:val="18"/>
      <w:szCs w:val="18"/>
    </w:rPr>
  </w:style>
  <w:style w:type="paragraph" w:customStyle="1" w:styleId="10">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1">
    <w:name w:val="NormalCharacter"/>
    <w:qFormat/>
    <w:uiPriority w:val="0"/>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225</Words>
  <Characters>1289</Characters>
  <Lines>10</Lines>
  <Paragraphs>3</Paragraphs>
  <TotalTime>1</TotalTime>
  <ScaleCrop>false</ScaleCrop>
  <LinksUpToDate>false</LinksUpToDate>
  <CharactersWithSpaces>1511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unique</cp:lastModifiedBy>
  <dcterms:modified xsi:type="dcterms:W3CDTF">2021-01-22T03:06:15Z</dcterms:modified>
  <cp:revision>1092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