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蜡疗机</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4"/>
        <w:gridCol w:w="789"/>
        <w:gridCol w:w="5418"/>
        <w:gridCol w:w="571"/>
        <w:gridCol w:w="1588"/>
        <w:gridCol w:w="11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1"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605"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863"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22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875"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488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605" w:type="dxa"/>
            <w:vMerge w:val="continue"/>
          </w:tcPr>
          <w:p>
            <w:pPr>
              <w:spacing w:line="320" w:lineRule="exact"/>
              <w:rPr>
                <w:rFonts w:ascii="仿宋" w:hAnsi="仿宋" w:eastAsia="仿宋"/>
                <w:szCs w:val="21"/>
              </w:rPr>
            </w:pPr>
          </w:p>
        </w:tc>
        <w:tc>
          <w:tcPr>
            <w:tcW w:w="1863" w:type="dxa"/>
            <w:vMerge w:val="continue"/>
          </w:tcPr>
          <w:p>
            <w:pPr>
              <w:spacing w:line="320" w:lineRule="exact"/>
              <w:rPr>
                <w:rFonts w:ascii="仿宋" w:hAnsi="仿宋" w:eastAsia="仿宋"/>
                <w:szCs w:val="21"/>
              </w:rPr>
            </w:pPr>
          </w:p>
        </w:tc>
        <w:tc>
          <w:tcPr>
            <w:tcW w:w="122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tcPr>
          <w:p>
            <w:pPr>
              <w:adjustRightInd w:val="0"/>
              <w:snapToGrid w:val="0"/>
              <w:rPr>
                <w:rFonts w:hint="eastAsia" w:ascii="宋体" w:hAnsi="宋体"/>
                <w:sz w:val="24"/>
                <w:szCs w:val="24"/>
              </w:rPr>
            </w:pPr>
            <w:r>
              <w:rPr>
                <w:rFonts w:hint="eastAsia" w:ascii="宋体" w:hAnsi="宋体"/>
                <w:sz w:val="24"/>
                <w:szCs w:val="24"/>
              </w:rPr>
              <w:t>电源：AC220±10%</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tcPr>
          <w:p>
            <w:pPr>
              <w:adjustRightInd w:val="0"/>
              <w:snapToGrid w:val="0"/>
              <w:rPr>
                <w:rFonts w:hint="eastAsia" w:ascii="宋体" w:hAnsi="宋体"/>
                <w:sz w:val="24"/>
                <w:szCs w:val="24"/>
              </w:rPr>
            </w:pPr>
            <w:r>
              <w:rPr>
                <w:rFonts w:hint="eastAsia" w:ascii="宋体" w:hAnsi="宋体"/>
                <w:sz w:val="24"/>
                <w:szCs w:val="24"/>
              </w:rPr>
              <w:t>额定输入功率：2</w:t>
            </w:r>
            <w:r>
              <w:rPr>
                <w:rFonts w:hint="eastAsia" w:ascii="宋体" w:hAnsi="宋体"/>
                <w:sz w:val="24"/>
                <w:szCs w:val="24"/>
                <w:lang w:val="en-US" w:eastAsia="zh-CN"/>
              </w:rPr>
              <w:t>6</w:t>
            </w:r>
            <w:r>
              <w:rPr>
                <w:rFonts w:hint="eastAsia" w:ascii="宋体" w:hAnsi="宋体"/>
                <w:sz w:val="24"/>
                <w:szCs w:val="24"/>
              </w:rPr>
              <w:t>00VA±10%</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tcPr>
          <w:p>
            <w:pPr>
              <w:adjustRightInd w:val="0"/>
              <w:snapToGrid w:val="0"/>
              <w:rPr>
                <w:rFonts w:hint="eastAsia" w:ascii="宋体" w:hAnsi="宋体"/>
                <w:sz w:val="24"/>
                <w:szCs w:val="24"/>
              </w:rPr>
            </w:pPr>
            <w:r>
              <w:rPr>
                <w:rFonts w:hint="eastAsia" w:ascii="宋体" w:hAnsi="宋体"/>
                <w:sz w:val="24"/>
                <w:szCs w:val="24"/>
              </w:rPr>
              <w:t>设定温度范围：0～99℃</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tcPr>
          <w:p>
            <w:pPr>
              <w:adjustRightInd w:val="0"/>
              <w:snapToGrid w:val="0"/>
              <w:rPr>
                <w:rFonts w:hint="eastAsia" w:ascii="宋体" w:hAnsi="宋体"/>
                <w:sz w:val="24"/>
                <w:szCs w:val="24"/>
              </w:rPr>
            </w:pPr>
            <w:r>
              <w:rPr>
                <w:rFonts w:hint="eastAsia" w:ascii="宋体" w:hAnsi="宋体"/>
                <w:sz w:val="24"/>
                <w:szCs w:val="24"/>
              </w:rPr>
              <w:t>温度控制精度：±1℃</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tcPr>
          <w:p>
            <w:pPr>
              <w:adjustRightInd w:val="0"/>
              <w:snapToGrid w:val="0"/>
              <w:rPr>
                <w:rFonts w:hint="eastAsia" w:ascii="宋体" w:hAnsi="宋体"/>
                <w:sz w:val="24"/>
                <w:szCs w:val="24"/>
              </w:rPr>
            </w:pPr>
            <w:r>
              <w:rPr>
                <w:rFonts w:hint="eastAsia" w:ascii="宋体" w:hAnsi="宋体"/>
                <w:sz w:val="24"/>
                <w:szCs w:val="24"/>
              </w:rPr>
              <w:t xml:space="preserve">外形尺寸：长1040mm，宽425mm，高650mm，允差±5% </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tcPr>
          <w:p>
            <w:pPr>
              <w:adjustRightInd w:val="0"/>
              <w:snapToGrid w:val="0"/>
              <w:rPr>
                <w:rFonts w:hint="eastAsia" w:ascii="宋体" w:hAnsi="宋体"/>
                <w:sz w:val="24"/>
                <w:szCs w:val="24"/>
              </w:rPr>
            </w:pPr>
            <w:r>
              <w:rPr>
                <w:rFonts w:hint="eastAsia" w:ascii="宋体" w:hAnsi="宋体"/>
                <w:sz w:val="24"/>
                <w:szCs w:val="24"/>
              </w:rPr>
              <w:t>蜡槽熔蜡量：30kg；</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4" w:type="dxa"/>
          </w:tcPr>
          <w:p>
            <w:pPr>
              <w:numPr>
                <w:ilvl w:val="0"/>
                <w:numId w:val="2"/>
              </w:numPr>
              <w:spacing w:line="320" w:lineRule="exact"/>
              <w:ind w:left="425" w:leftChars="0" w:hanging="425" w:firstLineChars="0"/>
              <w:rPr>
                <w:rFonts w:ascii="仿宋" w:hAnsi="仿宋" w:eastAsia="仿宋"/>
                <w:szCs w:val="21"/>
              </w:rPr>
            </w:pPr>
          </w:p>
        </w:tc>
        <w:tc>
          <w:tcPr>
            <w:tcW w:w="875" w:type="dxa"/>
          </w:tcPr>
          <w:p>
            <w:pPr>
              <w:spacing w:line="320" w:lineRule="exact"/>
              <w:rPr>
                <w:rFonts w:ascii="仿宋" w:hAnsi="仿宋" w:eastAsia="仿宋"/>
                <w:szCs w:val="21"/>
              </w:rPr>
            </w:pPr>
          </w:p>
        </w:tc>
        <w:tc>
          <w:tcPr>
            <w:tcW w:w="488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开机后自动工作，设定一周的工作参数，强制加热和停止功能。</w:t>
            </w:r>
          </w:p>
        </w:tc>
        <w:tc>
          <w:tcPr>
            <w:tcW w:w="605" w:type="dxa"/>
          </w:tcPr>
          <w:p>
            <w:pPr>
              <w:spacing w:line="320" w:lineRule="exact"/>
              <w:rPr>
                <w:rFonts w:ascii="仿宋" w:hAnsi="仿宋" w:eastAsia="仿宋"/>
                <w:szCs w:val="21"/>
              </w:rPr>
            </w:pPr>
          </w:p>
        </w:tc>
        <w:tc>
          <w:tcPr>
            <w:tcW w:w="1863" w:type="dxa"/>
          </w:tcPr>
          <w:p>
            <w:pPr>
              <w:spacing w:line="320" w:lineRule="exact"/>
              <w:rPr>
                <w:rFonts w:ascii="仿宋" w:hAnsi="仿宋" w:eastAsia="仿宋"/>
                <w:szCs w:val="21"/>
              </w:rPr>
            </w:pPr>
          </w:p>
        </w:tc>
        <w:tc>
          <w:tcPr>
            <w:tcW w:w="122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lang w:val="en-US" w:eastAsia="zh-CN"/>
              </w:rPr>
            </w:pPr>
            <w:r>
              <w:rPr>
                <w:rFonts w:hint="eastAsia" w:ascii="宋体" w:hAnsi="宋体"/>
                <w:sz w:val="24"/>
                <w:szCs w:val="24"/>
              </w:rPr>
              <w:t>设定参数，可长期保存；</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rPr>
              <w:t>具有漏电保护装置；</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rPr>
              <w:t>独有的</w:t>
            </w:r>
            <w:r>
              <w:rPr>
                <w:rFonts w:hint="eastAsia" w:ascii="宋体" w:hAnsi="宋体"/>
                <w:sz w:val="24"/>
                <w:szCs w:val="24"/>
                <w:lang w:val="en-US" w:eastAsia="zh-CN"/>
              </w:rPr>
              <w:t>有</w:t>
            </w:r>
            <w:r>
              <w:rPr>
                <w:rFonts w:hint="eastAsia" w:ascii="宋体" w:hAnsi="宋体"/>
                <w:sz w:val="24"/>
                <w:szCs w:val="24"/>
              </w:rPr>
              <w:t>水化蜡技术，隔离加热化蜡使用更安全</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rPr>
              <w:t>具有自然过滤装置；</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rPr>
              <w:t>国家中医药管理局中医诊疗设备推荐产品</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lang w:eastAsia="zh-CN"/>
              </w:rPr>
              <w:t>可用于传统浸蜡法、刷蜡法，也可制作蜡饼进行热敷。</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rPr>
              <w:t>产品通过CE认证。</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rPr>
            </w:pPr>
            <w:r>
              <w:rPr>
                <w:rFonts w:hint="eastAsia" w:ascii="宋体" w:hAnsi="宋体"/>
                <w:sz w:val="24"/>
                <w:szCs w:val="24"/>
              </w:rPr>
              <w:t>生产厂家通过环境管理体系和职业健康安全管理体系认证.</w:t>
            </w:r>
            <w:r>
              <w:rPr>
                <w:rFonts w:hint="eastAsia" w:ascii="宋体" w:hAnsi="宋体"/>
                <w:sz w:val="24"/>
                <w:szCs w:val="24"/>
              </w:rPr>
              <w:br w:type="textWrapping"/>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488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488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CBFED"/>
    <w:multiLevelType w:val="singleLevel"/>
    <w:tmpl w:val="8A1CBFED"/>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68B409C1"/>
    <w:rsid w:val="7818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1</TotalTime>
  <ScaleCrop>false</ScaleCrop>
  <LinksUpToDate>false</LinksUpToDate>
  <CharactersWithSpaces>929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2020-12-25T08:22:28Z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