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bookmarkStart w:id="0" w:name="_GoBack"/>
      <w:bookmarkEnd w:id="0"/>
      <w:r>
        <w:rPr>
          <w:rFonts w:hint="eastAsia" w:ascii="宋体" w:hAnsi="宋体" w:cs="宋体"/>
          <w:b/>
          <w:sz w:val="30"/>
          <w:szCs w:val="30"/>
          <w:u w:val="single"/>
        </w:rPr>
        <w:t>射频控温热凝器</w:t>
      </w:r>
      <w:r>
        <w:rPr>
          <w:rFonts w:hint="eastAsia" w:asciiTheme="majorEastAsia" w:hAnsiTheme="majorEastAsia" w:eastAsiaTheme="majorEastAsia"/>
          <w:b/>
          <w:sz w:val="32"/>
          <w:szCs w:val="32"/>
        </w:rPr>
        <w:t>项目初步参数论证征集意见表</w:t>
      </w:r>
    </w:p>
    <w:p>
      <w:pPr>
        <w:spacing w:line="320" w:lineRule="exact"/>
        <w:jc w:val="center"/>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5"/>
        <w:tblW w:w="936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13"/>
        <w:gridCol w:w="6012"/>
        <w:gridCol w:w="670"/>
        <w:gridCol w:w="1209"/>
        <w:gridCol w:w="9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525" w:type="dxa"/>
            <w:gridSpan w:val="2"/>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670" w:type="dxa"/>
          </w:tcPr>
          <w:p>
            <w:pPr>
              <w:spacing w:line="320" w:lineRule="exact"/>
              <w:jc w:val="center"/>
              <w:rPr>
                <w:rFonts w:ascii="仿宋" w:hAnsi="仿宋"/>
                <w:b/>
                <w:szCs w:val="21"/>
              </w:rPr>
            </w:pPr>
            <w:r>
              <w:rPr>
                <w:rFonts w:hint="eastAsia" w:ascii="仿宋" w:hAnsi="仿宋" w:eastAsia="仿宋"/>
                <w:b/>
                <w:szCs w:val="21"/>
              </w:rPr>
              <w:t>响应情况</w:t>
            </w:r>
          </w:p>
        </w:tc>
        <w:tc>
          <w:tcPr>
            <w:tcW w:w="1209" w:type="dxa"/>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956" w:type="dxa"/>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6012"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tcPr>
          <w:p>
            <w:pPr>
              <w:numPr>
                <w:numId w:val="0"/>
              </w:numPr>
              <w:spacing w:line="360" w:lineRule="auto"/>
              <w:ind w:leftChars="0"/>
              <w:jc w:val="left"/>
              <w:rPr>
                <w:rFonts w:ascii="仿宋" w:hAnsi="仿宋" w:eastAsia="仿宋"/>
                <w:szCs w:val="21"/>
              </w:rPr>
            </w:pPr>
            <w:r>
              <w:rPr>
                <w:rFonts w:hint="eastAsia" w:ascii="宋体" w:hAnsi="宋体" w:cs="宋体"/>
                <w:sz w:val="24"/>
              </w:rPr>
              <w:t>优于人体生物阻抗特性的0-2888欧姆宽频数据显示范围；</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tcPr>
          <w:p>
            <w:pPr>
              <w:numPr>
                <w:numId w:val="0"/>
              </w:numPr>
              <w:spacing w:line="360" w:lineRule="auto"/>
              <w:ind w:leftChars="0"/>
              <w:jc w:val="left"/>
              <w:rPr>
                <w:rFonts w:ascii="仿宋" w:hAnsi="仿宋" w:eastAsia="仿宋"/>
                <w:szCs w:val="21"/>
              </w:rPr>
            </w:pPr>
            <w:r>
              <w:rPr>
                <w:rFonts w:hint="eastAsia" w:ascii="宋体" w:hAnsi="宋体" w:cs="宋体"/>
                <w:bCs/>
                <w:sz w:val="24"/>
              </w:rPr>
              <w:t xml:space="preserve">具有恒定电流、恒定电压刺激功能； </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tcPr>
          <w:p>
            <w:pPr>
              <w:numPr>
                <w:numId w:val="0"/>
              </w:numPr>
              <w:spacing w:line="360" w:lineRule="auto"/>
              <w:ind w:leftChars="0"/>
              <w:jc w:val="left"/>
              <w:rPr>
                <w:rFonts w:ascii="仿宋" w:hAnsi="仿宋" w:eastAsia="仿宋"/>
                <w:szCs w:val="21"/>
              </w:rPr>
            </w:pPr>
            <w:r>
              <w:rPr>
                <w:rFonts w:hint="eastAsia" w:ascii="宋体" w:hAnsi="宋体" w:cs="宋体"/>
                <w:bCs/>
                <w:sz w:val="24"/>
              </w:rPr>
              <w:t>电压刺激模式：</w:t>
            </w:r>
            <w:r>
              <w:rPr>
                <w:rFonts w:hint="eastAsia" w:ascii="宋体" w:hAnsi="宋体" w:cs="宋体"/>
                <w:sz w:val="24"/>
              </w:rPr>
              <w:t>电压刺激幅度：0.00-8.00V，精度0.1V；</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tcPr>
          <w:p>
            <w:pPr>
              <w:numPr>
                <w:numId w:val="0"/>
              </w:numPr>
              <w:spacing w:line="360" w:lineRule="auto"/>
              <w:ind w:leftChars="0"/>
              <w:jc w:val="left"/>
              <w:rPr>
                <w:rFonts w:ascii="仿宋" w:hAnsi="仿宋" w:eastAsia="仿宋"/>
                <w:szCs w:val="21"/>
              </w:rPr>
            </w:pPr>
            <w:r>
              <w:rPr>
                <w:rFonts w:hint="eastAsia" w:ascii="宋体" w:hAnsi="宋体" w:cs="宋体"/>
                <w:sz w:val="24"/>
              </w:rPr>
              <w:t>电流刺激模式：电流刺激幅度：</w:t>
            </w:r>
            <w:r>
              <w:rPr>
                <w:rFonts w:ascii="宋体" w:hAnsi="宋体" w:cs="宋体"/>
                <w:sz w:val="24"/>
              </w:rPr>
              <w:t>0</w:t>
            </w:r>
            <w:r>
              <w:rPr>
                <w:rFonts w:hint="eastAsia" w:ascii="宋体" w:hAnsi="宋体" w:cs="宋体"/>
                <w:sz w:val="24"/>
              </w:rPr>
              <w:t>.00</w:t>
            </w:r>
            <w:r>
              <w:rPr>
                <w:rFonts w:ascii="宋体" w:hAnsi="宋体" w:cs="宋体"/>
                <w:sz w:val="24"/>
              </w:rPr>
              <w:t>-8</w:t>
            </w:r>
            <w:r>
              <w:rPr>
                <w:rFonts w:hint="eastAsia" w:ascii="宋体" w:hAnsi="宋体" w:cs="宋体"/>
                <w:sz w:val="24"/>
              </w:rPr>
              <w:t>.00</w:t>
            </w:r>
            <w:r>
              <w:rPr>
                <w:rFonts w:ascii="宋体" w:hAnsi="宋体" w:cs="宋体"/>
                <w:sz w:val="24"/>
              </w:rPr>
              <w:t>mA</w:t>
            </w:r>
            <w:r>
              <w:rPr>
                <w:rFonts w:hint="eastAsia" w:ascii="宋体" w:hAnsi="宋体" w:cs="宋体"/>
                <w:sz w:val="24"/>
              </w:rPr>
              <w:t>，精度0.1mA。</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tcPr>
          <w:p>
            <w:pPr>
              <w:numPr>
                <w:numId w:val="0"/>
              </w:numPr>
              <w:spacing w:line="360" w:lineRule="auto"/>
              <w:ind w:leftChars="0"/>
              <w:jc w:val="left"/>
              <w:rPr>
                <w:rFonts w:ascii="仿宋" w:hAnsi="仿宋" w:eastAsia="仿宋"/>
                <w:szCs w:val="21"/>
              </w:rPr>
            </w:pPr>
            <w:r>
              <w:rPr>
                <w:rFonts w:hint="eastAsia" w:ascii="宋体" w:hAnsi="宋体" w:cs="宋体"/>
                <w:bCs/>
                <w:sz w:val="24"/>
              </w:rPr>
              <w:t>具有单路应用、双极应用、双路应用功能模式</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tcPr>
          <w:p>
            <w:pPr>
              <w:numPr>
                <w:numId w:val="0"/>
              </w:numPr>
              <w:spacing w:line="360" w:lineRule="auto"/>
              <w:ind w:leftChars="0"/>
              <w:jc w:val="left"/>
              <w:rPr>
                <w:rFonts w:ascii="仿宋" w:hAnsi="仿宋" w:eastAsia="仿宋"/>
                <w:szCs w:val="21"/>
              </w:rPr>
            </w:pPr>
            <w:r>
              <w:rPr>
                <w:rFonts w:hint="eastAsia" w:ascii="宋体" w:hAnsi="宋体" w:cs="宋体"/>
                <w:bCs/>
                <w:sz w:val="24"/>
              </w:rPr>
              <w:t>双路模式下分</w:t>
            </w:r>
            <w:r>
              <w:rPr>
                <w:rFonts w:hint="eastAsia" w:ascii="宋体" w:hAnsi="宋体" w:cs="宋体"/>
                <w:sz w:val="24"/>
              </w:rPr>
              <w:t>别实时显示两个电极温</w:t>
            </w:r>
            <w:r>
              <w:rPr>
                <w:rFonts w:hint="eastAsia" w:ascii="宋体" w:hAnsi="宋体" w:cs="宋体"/>
                <w:bCs/>
                <w:sz w:val="24"/>
              </w:rPr>
              <w:t>度，并控制每个电极的温度，保证治疗的安全，可以同时治疗不同部位。</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hint="eastAsia" w:ascii="宋体" w:hAnsi="宋体" w:eastAsia="宋体" w:cs="宋体"/>
                <w:kern w:val="2"/>
                <w:sz w:val="24"/>
                <w:szCs w:val="24"/>
                <w:lang w:val="en-US" w:eastAsia="zh-CN" w:bidi="ar-SA"/>
              </w:rPr>
            </w:pPr>
            <w:r>
              <w:rPr>
                <w:rFonts w:hint="eastAsia" w:ascii="宋体" w:hAnsi="宋体" w:cs="宋体"/>
                <w:bCs/>
                <w:sz w:val="24"/>
              </w:rPr>
              <w:t xml:space="preserve">连续射频模式：温度范围: 30℃-95℃； </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hint="eastAsia" w:ascii="宋体" w:hAnsi="宋体" w:eastAsia="宋体" w:cs="宋体"/>
                <w:kern w:val="2"/>
                <w:sz w:val="24"/>
                <w:szCs w:val="24"/>
                <w:lang w:val="en-US" w:eastAsia="zh-CN" w:bidi="ar-SA"/>
              </w:rPr>
            </w:pPr>
            <w:r>
              <w:rPr>
                <w:rFonts w:hint="eastAsia" w:ascii="宋体" w:hAnsi="宋体" w:cs="宋体"/>
                <w:sz w:val="24"/>
              </w:rPr>
              <w:t>高温脉冲射频温度：30-95</w:t>
            </w:r>
            <w:r>
              <w:rPr>
                <w:rFonts w:hint="eastAsia" w:ascii="宋体" w:hAnsi="宋体" w:cs="宋体"/>
                <w:bCs/>
                <w:sz w:val="24"/>
              </w:rPr>
              <w:t>℃</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高电压脉冲射频模式：20-70V</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脉宽脉冲射频模式：3-40ms</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电刺激定位脉冲频率范围1-200Hz,电脉冲宽度范围0.1-3ms。</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测温范围：20℃-105℃</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连续射频时间设定0-10min;</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脉冲射频时间设定0-30min</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射频输出功率： ≥50W</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工作模式：正常模式、阶段跳跃连续模式</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 xml:space="preserve">热凝工作频率：488KHZ±5 KHZ  </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8寸全触摸屏操控，简便直观，界面简洁、切换自如，配合飞梭旋钮操作更加方便快捷</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工作显示界面：具有数字式、图示式两种</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负极片粘贴状态显示：能显示负极片粘贴是否良好。</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常用参数储存功能：可存储5组常用电刺激和射频参数</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有术前测试狗测试功能：测试狗可以对主机和电极测试，检测主机和电极状态是否良好，提前避免术中故障。</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人工智能模式：设备根据自动检测并识别电极的连接数量和情况，智能选择进入单极、双极、双路射频模式，并根据射频治疗模式智能选择相应常用参数组，方便操作。</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系统自设安全测试程序，电极功能、自动检测电极功能、超温报警、断开报警功能。</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射频控温软件V1.0，软件证书一套。带有一体化自动控制、数字+中文提示错误信息功能。</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 xml:space="preserve">工作过程中温度可直接调节，无需停机。 </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自动工作模式（阶跃模式）：可以预先设定要全部手术过程后，启动后自动操作。</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numPr>
                <w:numId w:val="0"/>
              </w:numPr>
              <w:adjustRightInd w:val="0"/>
              <w:snapToGrid w:val="0"/>
              <w:spacing w:line="360" w:lineRule="auto"/>
              <w:ind w:leftChars="0"/>
              <w:jc w:val="left"/>
              <w:rPr>
                <w:rFonts w:ascii="宋体" w:hAnsi="宋体"/>
                <w:sz w:val="24"/>
                <w:szCs w:val="24"/>
              </w:rPr>
            </w:pPr>
            <w:r>
              <w:rPr>
                <w:rFonts w:hint="eastAsia" w:ascii="宋体" w:hAnsi="宋体" w:cs="宋体"/>
                <w:sz w:val="24"/>
              </w:rPr>
              <w:t>双路工作中第二路延迟启动模式：双路治疗时，可以根据病情和治疗部位的不同，选择不同时间开始每个电极的治疗。</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adjustRightInd w:val="0"/>
              <w:snapToGrid w:val="0"/>
              <w:rPr>
                <w:rFonts w:ascii="宋体" w:hAnsi="宋体"/>
                <w:sz w:val="24"/>
                <w:szCs w:val="24"/>
              </w:rPr>
            </w:pPr>
            <w:r>
              <w:rPr>
                <w:rFonts w:hint="eastAsia" w:ascii="宋体" w:hAnsi="宋体" w:cs="宋体"/>
                <w:sz w:val="24"/>
              </w:rPr>
              <w:t>手术射频电极技术要求：手术电极能接受高温高压消毒灭菌方式</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wAfter w:w="0" w:type="auto"/>
        </w:trPr>
        <w:tc>
          <w:tcPr>
            <w:tcW w:w="513" w:type="dxa"/>
          </w:tcPr>
          <w:p>
            <w:pPr>
              <w:numPr>
                <w:ilvl w:val="0"/>
                <w:numId w:val="2"/>
              </w:numPr>
              <w:spacing w:line="320" w:lineRule="exact"/>
              <w:ind w:left="425" w:leftChars="0" w:hanging="425" w:firstLineChars="0"/>
              <w:rPr>
                <w:rFonts w:ascii="仿宋" w:hAnsi="仿宋" w:eastAsia="仿宋"/>
                <w:szCs w:val="21"/>
              </w:rPr>
            </w:pPr>
          </w:p>
        </w:tc>
        <w:tc>
          <w:tcPr>
            <w:tcW w:w="6012"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670" w:type="dxa"/>
          </w:tcPr>
          <w:p>
            <w:pPr>
              <w:spacing w:line="320" w:lineRule="exact"/>
              <w:rPr>
                <w:rFonts w:ascii="仿宋" w:hAnsi="仿宋" w:eastAsia="仿宋"/>
                <w:szCs w:val="21"/>
              </w:rPr>
            </w:pPr>
          </w:p>
        </w:tc>
        <w:tc>
          <w:tcPr>
            <w:tcW w:w="1209" w:type="dxa"/>
          </w:tcPr>
          <w:p>
            <w:pPr>
              <w:spacing w:line="320" w:lineRule="exact"/>
              <w:rPr>
                <w:rFonts w:ascii="仿宋" w:hAnsi="仿宋" w:eastAsia="仿宋"/>
                <w:szCs w:val="21"/>
              </w:rPr>
            </w:pPr>
          </w:p>
        </w:tc>
        <w:tc>
          <w:tcPr>
            <w:tcW w:w="956" w:type="dxa"/>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5"/>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5"/>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C00EDA"/>
    <w:multiLevelType w:val="singleLevel"/>
    <w:tmpl w:val="D8C00EDA"/>
    <w:lvl w:ilvl="0" w:tentative="0">
      <w:start w:val="1"/>
      <w:numFmt w:val="decimal"/>
      <w:lvlText w:val="%1."/>
      <w:lvlJc w:val="left"/>
      <w:pPr>
        <w:ind w:left="425" w:hanging="425"/>
      </w:pPr>
      <w:rPr>
        <w:rFonts w:hint="default"/>
      </w:rPr>
    </w:lvl>
  </w:abstractNum>
  <w:abstractNum w:abstractNumId="1">
    <w:nsid w:val="00000009"/>
    <w:multiLevelType w:val="multilevel"/>
    <w:tmpl w:val="00000009"/>
    <w:lvl w:ilvl="0" w:tentative="0">
      <w:start w:val="9"/>
      <w:numFmt w:val="decimal"/>
      <w:pStyle w:val="9"/>
      <w:suff w:val="space"/>
      <w:lvlText w:val="%1."/>
      <w:lvlJc w:val="left"/>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A1DD3"/>
    <w:rsid w:val="002A7CA5"/>
    <w:rsid w:val="002B077D"/>
    <w:rsid w:val="002C5A78"/>
    <w:rsid w:val="002D3C54"/>
    <w:rsid w:val="002E5FE9"/>
    <w:rsid w:val="002F1DC9"/>
    <w:rsid w:val="002F4594"/>
    <w:rsid w:val="002F46AF"/>
    <w:rsid w:val="003035B7"/>
    <w:rsid w:val="00305A35"/>
    <w:rsid w:val="00307C82"/>
    <w:rsid w:val="0031412D"/>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6035"/>
    <w:rsid w:val="004D5C73"/>
    <w:rsid w:val="004E1B33"/>
    <w:rsid w:val="004E2A8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F1FF3"/>
    <w:rsid w:val="007F72EE"/>
    <w:rsid w:val="0080420A"/>
    <w:rsid w:val="008056D0"/>
    <w:rsid w:val="00811886"/>
    <w:rsid w:val="00824B71"/>
    <w:rsid w:val="00847753"/>
    <w:rsid w:val="00847A3B"/>
    <w:rsid w:val="0085631E"/>
    <w:rsid w:val="00864B32"/>
    <w:rsid w:val="00865BB3"/>
    <w:rsid w:val="00874654"/>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8543F"/>
    <w:rsid w:val="009865B1"/>
    <w:rsid w:val="00986D55"/>
    <w:rsid w:val="00993FE8"/>
    <w:rsid w:val="00996932"/>
    <w:rsid w:val="009B0355"/>
    <w:rsid w:val="009B36A3"/>
    <w:rsid w:val="009B70B7"/>
    <w:rsid w:val="009E2359"/>
    <w:rsid w:val="009E4466"/>
    <w:rsid w:val="00A024EE"/>
    <w:rsid w:val="00A069B9"/>
    <w:rsid w:val="00A11A36"/>
    <w:rsid w:val="00A46863"/>
    <w:rsid w:val="00A528E9"/>
    <w:rsid w:val="00A669AF"/>
    <w:rsid w:val="00A7303F"/>
    <w:rsid w:val="00A83FE7"/>
    <w:rsid w:val="00A9205C"/>
    <w:rsid w:val="00A92F2C"/>
    <w:rsid w:val="00A9357B"/>
    <w:rsid w:val="00A9700C"/>
    <w:rsid w:val="00AA0C5C"/>
    <w:rsid w:val="00AB75E3"/>
    <w:rsid w:val="00AC18B2"/>
    <w:rsid w:val="00AD049E"/>
    <w:rsid w:val="00AD5396"/>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2617D"/>
    <w:rsid w:val="00C3081E"/>
    <w:rsid w:val="00C33276"/>
    <w:rsid w:val="00C431F3"/>
    <w:rsid w:val="00C46D12"/>
    <w:rsid w:val="00C536E0"/>
    <w:rsid w:val="00C53BAD"/>
    <w:rsid w:val="00C5766B"/>
    <w:rsid w:val="00C635B8"/>
    <w:rsid w:val="00C6413C"/>
    <w:rsid w:val="00C76482"/>
    <w:rsid w:val="00C91F49"/>
    <w:rsid w:val="00C93FD2"/>
    <w:rsid w:val="00C942E1"/>
    <w:rsid w:val="00CA11F9"/>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D192E"/>
    <w:rsid w:val="00FD1B59"/>
    <w:rsid w:val="00FE5B5E"/>
    <w:rsid w:val="00FE5E56"/>
    <w:rsid w:val="00FF5778"/>
    <w:rsid w:val="22245871"/>
    <w:rsid w:val="30732574"/>
    <w:rsid w:val="4B012078"/>
    <w:rsid w:val="68B409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qFormat/>
    <w:uiPriority w:val="99"/>
    <w:rPr>
      <w:sz w:val="18"/>
      <w:szCs w:val="18"/>
    </w:rPr>
  </w:style>
  <w:style w:type="paragraph" w:customStyle="1" w:styleId="9">
    <w:name w:val="正文1"/>
    <w:basedOn w:val="1"/>
    <w:qFormat/>
    <w:uiPriority w:val="0"/>
    <w:pPr>
      <w:numPr>
        <w:ilvl w:val="0"/>
        <w:numId w:val="1"/>
      </w:numPr>
      <w:tabs>
        <w:tab w:val="left" w:pos="360"/>
      </w:tabs>
      <w:spacing w:line="360" w:lineRule="auto"/>
      <w:ind w:left="357" w:hanging="357"/>
    </w:pPr>
    <w:rPr>
      <w:rFonts w:ascii="宋体" w:hAnsi="宋体" w:eastAsia="宋体" w:cs="Times New Roman"/>
      <w:color w:val="FF0000"/>
      <w:szCs w:val="24"/>
    </w:r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792</Characters>
  <Lines>6</Lines>
  <Paragraphs>1</Paragraphs>
  <TotalTime>0</TotalTime>
  <ScaleCrop>false</ScaleCrop>
  <LinksUpToDate>false</LinksUpToDate>
  <CharactersWithSpaces>929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2020-03-12T00:43:00Z</dcterms:created>
  <dc:creator>AutoBVT</dc:creator>
  <cp:lastModifiedBy>今晚打老虎จุ๊บ</cp:lastModifiedBy>
  <dcterms:modified xsi:type="dcterms:W3CDTF">2020-12-17T03:11:55Z</dcterms:modified>
  <cp:revision>1082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