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非热康谱技术参数</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978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0"/>
        <w:gridCol w:w="5766"/>
        <w:gridCol w:w="650"/>
        <w:gridCol w:w="1267"/>
        <w:gridCol w:w="14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46" w:type="dxa"/>
            <w:gridSpan w:val="2"/>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650" w:type="dxa"/>
          </w:tcPr>
          <w:p>
            <w:pPr>
              <w:spacing w:line="320" w:lineRule="exact"/>
              <w:jc w:val="center"/>
              <w:rPr>
                <w:rFonts w:ascii="仿宋" w:hAnsi="仿宋"/>
                <w:b/>
                <w:szCs w:val="21"/>
              </w:rPr>
            </w:pPr>
            <w:r>
              <w:rPr>
                <w:rFonts w:hint="eastAsia" w:ascii="仿宋" w:hAnsi="仿宋" w:eastAsia="仿宋"/>
                <w:b/>
                <w:szCs w:val="21"/>
              </w:rPr>
              <w:t>响应情况</w:t>
            </w:r>
          </w:p>
        </w:tc>
        <w:tc>
          <w:tcPr>
            <w:tcW w:w="1267" w:type="dxa"/>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419" w:type="dxa"/>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766"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tcPr>
          <w:p>
            <w:pPr>
              <w:adjustRightInd w:val="0"/>
              <w:snapToGrid w:val="0"/>
              <w:rPr>
                <w:rFonts w:hint="eastAsia" w:ascii="宋体" w:hAnsi="宋体"/>
                <w:sz w:val="24"/>
                <w:szCs w:val="24"/>
              </w:rPr>
            </w:pPr>
            <w:r>
              <w:rPr>
                <w:rFonts w:hint="eastAsia" w:ascii="宋体" w:hAnsi="宋体"/>
                <w:sz w:val="24"/>
                <w:szCs w:val="24"/>
              </w:rPr>
              <w:t>电器规格：</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tcPr>
          <w:p>
            <w:pPr>
              <w:adjustRightInd w:val="0"/>
              <w:snapToGrid w:val="0"/>
              <w:rPr>
                <w:rFonts w:hint="eastAsia" w:ascii="宋体" w:hAnsi="宋体"/>
                <w:sz w:val="24"/>
                <w:szCs w:val="24"/>
              </w:rPr>
            </w:pPr>
            <w:r>
              <w:rPr>
                <w:rFonts w:hint="eastAsia" w:ascii="宋体" w:hAnsi="宋体"/>
                <w:sz w:val="24"/>
                <w:szCs w:val="24"/>
              </w:rPr>
              <w:t>额定电流（Rated current）：</w:t>
            </w:r>
            <w:r>
              <w:rPr>
                <w:rFonts w:hint="eastAsia" w:ascii="宋体" w:hAnsi="宋体"/>
                <w:sz w:val="24"/>
                <w:szCs w:val="24"/>
                <w:lang w:val="en-US" w:eastAsia="zh-CN"/>
              </w:rPr>
              <w:t>0.9</w:t>
            </w:r>
            <w:r>
              <w:rPr>
                <w:rFonts w:hint="eastAsia" w:ascii="宋体" w:hAnsi="宋体"/>
                <w:sz w:val="24"/>
                <w:szCs w:val="24"/>
              </w:rPr>
              <w:t>A（MAX）</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tcPr>
          <w:p>
            <w:pPr>
              <w:adjustRightInd w:val="0"/>
              <w:snapToGrid w:val="0"/>
              <w:rPr>
                <w:rFonts w:hint="eastAsia" w:ascii="宋体" w:hAnsi="宋体"/>
                <w:sz w:val="24"/>
                <w:szCs w:val="24"/>
              </w:rPr>
            </w:pPr>
            <w:r>
              <w:rPr>
                <w:rFonts w:hint="eastAsia" w:ascii="宋体" w:hAnsi="宋体"/>
                <w:sz w:val="24"/>
                <w:szCs w:val="24"/>
                <w:lang w:val="en-US" w:eastAsia="zh-CN"/>
              </w:rPr>
              <w:t>功率：≦200W</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tcPr>
          <w:p>
            <w:pPr>
              <w:adjustRightInd w:val="0"/>
              <w:snapToGrid w:val="0"/>
              <w:rPr>
                <w:rFonts w:hint="eastAsia" w:ascii="宋体" w:hAnsi="宋体"/>
                <w:sz w:val="24"/>
                <w:szCs w:val="24"/>
              </w:rPr>
            </w:pPr>
            <w:r>
              <w:rPr>
                <w:rFonts w:hint="eastAsia" w:ascii="宋体" w:hAnsi="宋体"/>
                <w:sz w:val="24"/>
                <w:szCs w:val="24"/>
              </w:rPr>
              <w:t>照射器</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tcPr>
          <w:p>
            <w:pPr>
              <w:adjustRightInd w:val="0"/>
              <w:snapToGrid w:val="0"/>
              <w:rPr>
                <w:rFonts w:hint="eastAsia" w:ascii="宋体" w:hAnsi="宋体"/>
                <w:sz w:val="24"/>
                <w:szCs w:val="24"/>
              </w:rPr>
            </w:pPr>
            <w:r>
              <w:rPr>
                <w:rFonts w:hint="eastAsia" w:ascii="宋体" w:hAnsi="宋体"/>
                <w:sz w:val="24"/>
                <w:szCs w:val="24"/>
              </w:rPr>
              <w:t>高效率耐温陶瓷远红外线放射板，发射光谱波长：</w:t>
            </w:r>
            <w:r>
              <w:rPr>
                <w:rFonts w:hint="eastAsia" w:ascii="宋体" w:hAnsi="宋体"/>
                <w:sz w:val="24"/>
                <w:szCs w:val="24"/>
                <w:lang w:val="en-US" w:eastAsia="zh-CN"/>
              </w:rPr>
              <w:t>2</w:t>
            </w:r>
            <w:r>
              <w:rPr>
                <w:rFonts w:hint="eastAsia" w:ascii="宋体" w:hAnsi="宋体"/>
                <w:sz w:val="24"/>
                <w:szCs w:val="24"/>
              </w:rPr>
              <w:t>-25μm。</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tcPr>
          <w:p>
            <w:pPr>
              <w:adjustRightInd w:val="0"/>
              <w:snapToGrid w:val="0"/>
              <w:rPr>
                <w:rFonts w:hint="eastAsia" w:ascii="宋体" w:hAnsi="宋体"/>
                <w:sz w:val="24"/>
                <w:szCs w:val="24"/>
              </w:rPr>
            </w:pPr>
            <w:r>
              <w:rPr>
                <w:rFonts w:hint="eastAsia" w:ascii="宋体" w:hAnsi="宋体"/>
                <w:sz w:val="24"/>
                <w:szCs w:val="24"/>
              </w:rPr>
              <w:t>双向转轴，上下仰角170度，左右旋转330度。</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外观材质为金属材料可长期耐温。</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val="en-US" w:eastAsia="zh-CN"/>
              </w:rPr>
              <w:t>照射部位区域标示灯。开启远红外线功能时自动开启，1分钟内自动关闭。</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安全防护：</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照射器内部导热结构，照射器外壳不烫</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照射器内部过热断电装置</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可挠式安全距离提示杆</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长距防护网</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控制箱（Contral box）</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触摸式按键</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电子式定时器</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时间采用数字显示</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时间设置范围</w:t>
            </w:r>
            <w:r>
              <w:rPr>
                <w:rFonts w:hint="eastAsia" w:ascii="宋体" w:hAnsi="宋体"/>
                <w:sz w:val="24"/>
                <w:szCs w:val="24"/>
                <w:lang w:val="en-US" w:eastAsia="zh-CN"/>
              </w:rPr>
              <w:t>5</w:t>
            </w:r>
            <w:r>
              <w:rPr>
                <w:rFonts w:hint="eastAsia" w:ascii="宋体" w:hAnsi="宋体"/>
                <w:sz w:val="24"/>
                <w:szCs w:val="24"/>
              </w:rPr>
              <w:t>-90分钟</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连续使用功能设定</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两种全自动设定模式选择（20分/40分）</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强度：弱、中、强三种</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标准操作模式：单键自动设定（时间：40分钟，强度：强档）</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悬吊手臂：二节屈伸，随意平衡式。</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高低升降杆（Adjustable Hydraulic Stand）：气压无段式升降</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底座（Base）：五爪式带轮塑料底座</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规格选购配备：防倾倒底座加稳装置(注水式)</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通过欧盟（CE）认证</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安徽省内使用客户（三甲医院）不少于10家</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eastAsia="zh-CN"/>
              </w:rPr>
              <w:t>可改善周边动脉疾病的缺血症状</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改善</w:t>
            </w:r>
            <w:r>
              <w:rPr>
                <w:rFonts w:hint="eastAsia" w:ascii="宋体" w:hAnsi="宋体"/>
                <w:sz w:val="24"/>
                <w:szCs w:val="24"/>
                <w:lang w:eastAsia="zh-CN"/>
              </w:rPr>
              <w:t>血管内皮功能</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eastAsia="zh-CN"/>
              </w:rPr>
              <w:t>降低氧化压力</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eastAsia="zh-CN"/>
              </w:rPr>
              <w:t>促进血管新生</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eastAsia="zh-CN"/>
              </w:rPr>
              <w:t>可辅助慢性伤口之治疗</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eastAsia="zh-CN"/>
              </w:rPr>
              <w:t>抑制发炎</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eastAsia="zh-CN"/>
              </w:rPr>
              <w:t>促进生长因子生成，加速组织再生</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lang w:eastAsia="zh-CN"/>
              </w:rPr>
              <w:t>促进血管新生</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预防动静脉内瘘与人工瘘管栓塞，延长瘘管寿命，提升畅通率</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改善血管暗沉及纤维化，使血管明显浮现，易于穿刺，减少重复穿刺疼痛</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迅速有效减轻淤青、血肿以及穿刺所引起的疼痛</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降低因血液透析内瘘并发症儿造成的手术或住院，减少相关医疗费用</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提供肾友血液透析内瘘的全面照护，并减轻护理人员的工作负担，提升护病关系</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质保要求：整机免费保修叁年（含所有零部件，包括须定期更换零部件）。</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80" w:type="dxa"/>
          </w:tcPr>
          <w:p>
            <w:pPr>
              <w:numPr>
                <w:ilvl w:val="0"/>
                <w:numId w:val="2"/>
              </w:numPr>
              <w:spacing w:line="320" w:lineRule="exact"/>
              <w:ind w:left="425" w:leftChars="0" w:hanging="425" w:firstLineChars="0"/>
              <w:rPr>
                <w:rFonts w:ascii="仿宋" w:hAnsi="仿宋" w:eastAsia="仿宋"/>
                <w:szCs w:val="21"/>
              </w:rPr>
            </w:pPr>
          </w:p>
        </w:tc>
        <w:tc>
          <w:tcPr>
            <w:tcW w:w="5766" w:type="dxa"/>
            <w:vAlign w:val="center"/>
          </w:tcPr>
          <w:p>
            <w:pPr>
              <w:adjustRightInd w:val="0"/>
              <w:snapToGrid w:val="0"/>
              <w:rPr>
                <w:rFonts w:hint="eastAsia" w:ascii="宋体" w:hAnsi="宋体"/>
                <w:sz w:val="24"/>
                <w:szCs w:val="24"/>
              </w:rPr>
            </w:pPr>
            <w:r>
              <w:rPr>
                <w:rFonts w:hint="eastAsia"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650" w:type="dxa"/>
          </w:tcPr>
          <w:p>
            <w:pPr>
              <w:spacing w:line="320" w:lineRule="exact"/>
              <w:rPr>
                <w:rFonts w:ascii="仿宋" w:hAnsi="仿宋" w:eastAsia="仿宋"/>
                <w:szCs w:val="21"/>
              </w:rPr>
            </w:pPr>
          </w:p>
        </w:tc>
        <w:tc>
          <w:tcPr>
            <w:tcW w:w="1267" w:type="dxa"/>
          </w:tcPr>
          <w:p>
            <w:pPr>
              <w:spacing w:line="320" w:lineRule="exact"/>
              <w:rPr>
                <w:rFonts w:ascii="仿宋" w:hAnsi="仿宋" w:eastAsia="仿宋"/>
                <w:szCs w:val="21"/>
              </w:rPr>
            </w:pPr>
          </w:p>
        </w:tc>
        <w:tc>
          <w:tcPr>
            <w:tcW w:w="141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Microsoft Sans Serif"/>
    <w:panose1 w:val="020B0604020202020204"/>
    <w:charset w:val="00"/>
    <w:family w:val="swiss"/>
    <w:pitch w:val="default"/>
    <w:sig w:usb0="00000000" w:usb1="00000000" w:usb2="00000009" w:usb3="00000000" w:csb0="000001FF"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0161A"/>
    <w:multiLevelType w:val="singleLevel"/>
    <w:tmpl w:val="DEA0161A"/>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30732574"/>
    <w:rsid w:val="67762F57"/>
    <w:rsid w:val="68B409C1"/>
    <w:rsid w:val="7E951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2</TotalTime>
  <ScaleCrop>false</ScaleCrop>
  <LinksUpToDate>false</LinksUpToDate>
  <CharactersWithSpaces>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2020-12-11T02:16:36Z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