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放射防护及性能检测服务</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6"/>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widowControl/>
              <w:snapToGrid w:val="0"/>
              <w:spacing w:line="360" w:lineRule="auto"/>
              <w:ind w:firstLine="560" w:firstLineChars="200"/>
              <w:rPr>
                <w:rFonts w:hint="eastAsia" w:ascii="楷体" w:hAnsi="楷体" w:eastAsia="楷体" w:cs="楷体"/>
                <w:color w:val="333333"/>
                <w:kern w:val="0"/>
                <w:sz w:val="28"/>
                <w:szCs w:val="28"/>
                <w:lang w:val="en-US" w:eastAsia="zh-CN" w:bidi="ar-SA"/>
              </w:rPr>
            </w:pPr>
            <w:r>
              <w:rPr>
                <w:rFonts w:hint="eastAsia" w:ascii="楷体" w:hAnsi="楷体" w:eastAsia="楷体" w:cs="楷体"/>
                <w:color w:val="333333"/>
                <w:kern w:val="0"/>
                <w:sz w:val="28"/>
                <w:szCs w:val="28"/>
                <w:lang w:val="en-US" w:eastAsia="zh-CN" w:bidi="ar-SA"/>
              </w:rPr>
              <w:t>投标人要具有独立法人资格，有履行合同能力并取得CMA资质。</w:t>
            </w:r>
          </w:p>
          <w:p>
            <w:pPr>
              <w:spacing w:line="360" w:lineRule="auto"/>
              <w:jc w:val="left"/>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jc w:val="left"/>
              <w:rPr>
                <w:rFonts w:ascii="仿宋" w:hAnsi="仿宋" w:eastAsia="仿宋"/>
                <w:sz w:val="21"/>
                <w:szCs w:val="21"/>
              </w:rPr>
            </w:pPr>
            <w:r>
              <w:rPr>
                <w:rFonts w:hint="eastAsia" w:ascii="楷体" w:hAnsi="楷体" w:eastAsia="楷体" w:cs="楷体"/>
                <w:color w:val="333333"/>
                <w:kern w:val="0"/>
                <w:sz w:val="28"/>
                <w:szCs w:val="28"/>
                <w:lang w:val="en-US" w:eastAsia="zh-CN" w:bidi="ar-SA"/>
              </w:rPr>
              <w:t>具备安徽省卫计委颁发的《放射卫生技术服务机构资质证书》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jc w:val="left"/>
              <w:rPr>
                <w:rFonts w:ascii="仿宋" w:hAnsi="仿宋" w:eastAsia="仿宋"/>
                <w:sz w:val="21"/>
                <w:szCs w:val="21"/>
              </w:rPr>
            </w:pPr>
            <w:r>
              <w:rPr>
                <w:rFonts w:hint="eastAsia" w:ascii="楷体" w:hAnsi="楷体" w:eastAsia="楷体" w:cs="楷体"/>
                <w:color w:val="333333"/>
                <w:kern w:val="0"/>
                <w:sz w:val="28"/>
                <w:szCs w:val="28"/>
                <w:lang w:val="en-US" w:eastAsia="zh-CN" w:bidi="ar-SA"/>
              </w:rPr>
              <w:t>具备安徽省质量技术监督局颁发的《检验检测机构资质认定证书》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rPr>
                <w:rFonts w:ascii="仿宋" w:hAnsi="仿宋" w:eastAsia="仿宋"/>
                <w:sz w:val="21"/>
                <w:szCs w:val="21"/>
              </w:rPr>
            </w:pPr>
            <w:r>
              <w:rPr>
                <w:rFonts w:hint="eastAsia" w:ascii="楷体" w:hAnsi="楷体" w:eastAsia="楷体" w:cs="楷体"/>
                <w:color w:val="333333"/>
                <w:kern w:val="0"/>
                <w:sz w:val="28"/>
                <w:szCs w:val="28"/>
                <w:lang w:val="en-US" w:eastAsia="zh-CN" w:bidi="ar-SA"/>
              </w:rPr>
              <w:t>投标单位拟派的项目负责人必须具有放射卫生专业中级及以上技术职称证书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pStyle w:val="4"/>
              <w:keepNext w:val="0"/>
              <w:keepLines w:val="0"/>
              <w:pageBreakBefore w:val="0"/>
              <w:widowControl/>
              <w:suppressLineNumbers w:val="0"/>
              <w:tabs>
                <w:tab w:val="left" w:pos="-1365"/>
              </w:tabs>
              <w:kinsoku/>
              <w:wordWrap/>
              <w:overflowPunct/>
              <w:topLinePunct w:val="0"/>
              <w:autoSpaceDE/>
              <w:autoSpaceDN/>
              <w:bidi w:val="0"/>
              <w:adjustRightInd/>
              <w:snapToGrid/>
              <w:spacing w:before="0" w:beforeAutospacing="0" w:after="0" w:afterAutospacing="0" w:line="440" w:lineRule="exact"/>
              <w:ind w:left="0" w:right="0" w:rightChars="0" w:firstLine="560" w:firstLineChars="200"/>
              <w:jc w:val="both"/>
              <w:textAlignment w:val="auto"/>
              <w:outlineLvl w:val="9"/>
              <w:rPr>
                <w:rFonts w:hint="eastAsia" w:ascii="楷体" w:hAnsi="楷体" w:eastAsia="楷体" w:cs="楷体"/>
                <w:color w:val="333333"/>
                <w:kern w:val="0"/>
                <w:sz w:val="28"/>
                <w:szCs w:val="28"/>
                <w:lang w:val="en-US" w:eastAsia="zh-CN" w:bidi="ar-SA"/>
              </w:rPr>
            </w:pPr>
            <w:r>
              <w:rPr>
                <w:rFonts w:hint="eastAsia" w:ascii="楷体" w:hAnsi="楷体" w:eastAsia="楷体" w:cs="楷体"/>
                <w:color w:val="333333"/>
                <w:kern w:val="0"/>
                <w:sz w:val="28"/>
                <w:szCs w:val="28"/>
                <w:lang w:val="en-US" w:eastAsia="zh-CN" w:bidi="ar-SA"/>
              </w:rPr>
              <w:t>投标人近三年内完成过安徽省至少5例二级以上医院的类似项目业绩（以委托合同为准）；检测报告能满足省、市放射卫生和生态环境督察要求。</w:t>
            </w:r>
          </w:p>
          <w:p>
            <w:pPr>
              <w:spacing w:line="360" w:lineRule="auto"/>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 w:val="21"/>
                <w:szCs w:val="21"/>
              </w:rPr>
            </w:pPr>
          </w:p>
        </w:tc>
        <w:tc>
          <w:tcPr>
            <w:tcW w:w="3261" w:type="dxa"/>
            <w:vAlign w:val="top"/>
          </w:tcPr>
          <w:p>
            <w:pPr>
              <w:spacing w:line="360" w:lineRule="auto"/>
              <w:rPr>
                <w:rFonts w:ascii="仿宋" w:hAnsi="仿宋" w:eastAsia="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hint="eastAsia" w:ascii="仿宋" w:hAnsi="仿宋" w:eastAsia="仿宋"/>
          <w:szCs w:val="21"/>
          <w:lang w:eastAsia="zh-CN"/>
        </w:rPr>
      </w:pPr>
      <w:r>
        <w:rPr>
          <w:rFonts w:hint="eastAsia" w:ascii="仿宋" w:hAnsi="仿宋" w:eastAsia="仿宋"/>
          <w:szCs w:val="21"/>
          <w:lang w:eastAsia="zh-CN"/>
        </w:rPr>
        <w:t>购置清单</w:t>
      </w:r>
    </w:p>
    <w:tbl>
      <w:tblPr>
        <w:tblStyle w:val="5"/>
        <w:tblW w:w="0" w:type="auto"/>
        <w:tblInd w:w="157" w:type="dxa"/>
        <w:tblLayout w:type="fixed"/>
        <w:tblCellMar>
          <w:top w:w="15" w:type="dxa"/>
          <w:left w:w="15" w:type="dxa"/>
          <w:bottom w:w="15" w:type="dxa"/>
          <w:right w:w="15" w:type="dxa"/>
        </w:tblCellMar>
      </w:tblPr>
      <w:tblGrid>
        <w:gridCol w:w="960"/>
        <w:gridCol w:w="3495"/>
        <w:gridCol w:w="1005"/>
        <w:gridCol w:w="2640"/>
      </w:tblGrid>
      <w:tr>
        <w:tblPrEx>
          <w:tblCellMar>
            <w:top w:w="15" w:type="dxa"/>
            <w:left w:w="15" w:type="dxa"/>
            <w:bottom w:w="15" w:type="dxa"/>
            <w:right w:w="15" w:type="dxa"/>
          </w:tblCellMar>
        </w:tblPrEx>
        <w:trPr>
          <w:wBefore w:w="0" w:type="auto"/>
          <w:wAfter w:w="0" w:type="auto"/>
        </w:trPr>
        <w:tc>
          <w:tcPr>
            <w:tcW w:w="9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34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b/>
                <w:sz w:val="32"/>
                <w:szCs w:val="32"/>
              </w:rPr>
              <w:t>设备名称</w:t>
            </w:r>
          </w:p>
        </w:tc>
        <w:tc>
          <w:tcPr>
            <w:tcW w:w="10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b/>
                <w:sz w:val="32"/>
                <w:szCs w:val="32"/>
              </w:rPr>
              <w:t>类别</w:t>
            </w:r>
          </w:p>
        </w:tc>
        <w:tc>
          <w:tcPr>
            <w:tcW w:w="26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b/>
                <w:sz w:val="32"/>
                <w:szCs w:val="32"/>
              </w:rPr>
              <w:t>数量（台）</w:t>
            </w:r>
          </w:p>
        </w:tc>
      </w:tr>
      <w:tr>
        <w:tblPrEx>
          <w:tblCellMar>
            <w:top w:w="15" w:type="dxa"/>
            <w:left w:w="15" w:type="dxa"/>
            <w:bottom w:w="15" w:type="dxa"/>
            <w:right w:w="15" w:type="dxa"/>
          </w:tblCellMar>
        </w:tblPrEx>
        <w:trPr>
          <w:wBefore w:w="0" w:type="auto"/>
          <w:wAfter w:w="0" w:type="auto"/>
          <w:trHeight w:val="301" w:hRule="atLeast"/>
        </w:trPr>
        <w:tc>
          <w:tcPr>
            <w:tcW w:w="96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1</w:t>
            </w:r>
          </w:p>
        </w:tc>
        <w:tc>
          <w:tcPr>
            <w:tcW w:w="349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CT</w:t>
            </w:r>
          </w:p>
        </w:tc>
        <w:tc>
          <w:tcPr>
            <w:tcW w:w="10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三</w:t>
            </w:r>
          </w:p>
        </w:tc>
        <w:tc>
          <w:tcPr>
            <w:tcW w:w="264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p>
        </w:tc>
      </w:tr>
      <w:tr>
        <w:tblPrEx>
          <w:tblCellMar>
            <w:top w:w="15" w:type="dxa"/>
            <w:left w:w="15" w:type="dxa"/>
            <w:bottom w:w="15" w:type="dxa"/>
            <w:right w:w="15" w:type="dxa"/>
          </w:tblCellMar>
        </w:tblPrEx>
        <w:trPr>
          <w:wBefore w:w="0" w:type="auto"/>
          <w:wAfter w:w="0" w:type="auto"/>
        </w:trPr>
        <w:tc>
          <w:tcPr>
            <w:tcW w:w="96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2</w:t>
            </w:r>
          </w:p>
        </w:tc>
        <w:tc>
          <w:tcPr>
            <w:tcW w:w="349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DR</w:t>
            </w:r>
          </w:p>
        </w:tc>
        <w:tc>
          <w:tcPr>
            <w:tcW w:w="10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三</w:t>
            </w:r>
          </w:p>
        </w:tc>
        <w:tc>
          <w:tcPr>
            <w:tcW w:w="264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p>
        </w:tc>
      </w:tr>
      <w:tr>
        <w:tblPrEx>
          <w:tblCellMar>
            <w:top w:w="15" w:type="dxa"/>
            <w:left w:w="15" w:type="dxa"/>
            <w:bottom w:w="15" w:type="dxa"/>
            <w:right w:w="15" w:type="dxa"/>
          </w:tblCellMar>
        </w:tblPrEx>
        <w:trPr>
          <w:wBefore w:w="0" w:type="auto"/>
          <w:wAfter w:w="0" w:type="auto"/>
        </w:trPr>
        <w:tc>
          <w:tcPr>
            <w:tcW w:w="960"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3</w:t>
            </w:r>
          </w:p>
        </w:tc>
        <w:tc>
          <w:tcPr>
            <w:tcW w:w="3495"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数字胃肠机</w:t>
            </w:r>
          </w:p>
        </w:tc>
        <w:tc>
          <w:tcPr>
            <w:tcW w:w="1005"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三</w:t>
            </w:r>
          </w:p>
        </w:tc>
        <w:tc>
          <w:tcPr>
            <w:tcW w:w="264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p>
        </w:tc>
      </w:tr>
      <w:tr>
        <w:tblPrEx>
          <w:tblCellMar>
            <w:top w:w="15" w:type="dxa"/>
            <w:left w:w="15" w:type="dxa"/>
            <w:bottom w:w="15" w:type="dxa"/>
            <w:right w:w="15" w:type="dxa"/>
          </w:tblCellMar>
        </w:tblPrEx>
        <w:trPr>
          <w:wBefore w:w="0" w:type="auto"/>
          <w:wAfter w:w="0" w:type="auto"/>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4</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普放X线机</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三</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1</w:t>
            </w:r>
          </w:p>
        </w:tc>
      </w:tr>
      <w:tr>
        <w:tblPrEx>
          <w:tblCellMar>
            <w:top w:w="15" w:type="dxa"/>
            <w:left w:w="15" w:type="dxa"/>
            <w:bottom w:w="15" w:type="dxa"/>
            <w:right w:w="15" w:type="dxa"/>
          </w:tblCellMar>
        </w:tblPrEx>
        <w:trPr>
          <w:wBefore w:w="0" w:type="auto"/>
          <w:wAfter w:w="0" w:type="auto"/>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5</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eastAsia="zh-CN"/>
              </w:rPr>
              <w:t>小</w:t>
            </w:r>
            <w:r>
              <w:rPr>
                <w:rFonts w:hint="eastAsia" w:ascii="仿宋" w:hAnsi="仿宋" w:eastAsia="仿宋" w:cs="仿宋"/>
                <w:sz w:val="32"/>
                <w:szCs w:val="32"/>
              </w:rPr>
              <w:t>C臂X线机</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三</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1</w:t>
            </w:r>
          </w:p>
        </w:tc>
      </w:tr>
      <w:tr>
        <w:tblPrEx>
          <w:tblCellMar>
            <w:top w:w="15" w:type="dxa"/>
            <w:left w:w="15" w:type="dxa"/>
            <w:bottom w:w="15" w:type="dxa"/>
            <w:right w:w="15" w:type="dxa"/>
          </w:tblCellMar>
        </w:tblPrEx>
        <w:trPr>
          <w:wBefore w:w="0" w:type="auto"/>
          <w:wAfter w:w="0" w:type="auto"/>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6</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rPr>
              <w:t>DSA</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二</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rPr>
              <w:t>1</w:t>
            </w:r>
          </w:p>
        </w:tc>
      </w:tr>
      <w:tr>
        <w:tblPrEx>
          <w:tblCellMar>
            <w:top w:w="15" w:type="dxa"/>
            <w:left w:w="15" w:type="dxa"/>
            <w:bottom w:w="15" w:type="dxa"/>
            <w:right w:w="15" w:type="dxa"/>
          </w:tblCellMar>
        </w:tblPrEx>
        <w:trPr>
          <w:wBefore w:w="0" w:type="auto"/>
          <w:wAfter w:w="0" w:type="auto"/>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7</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rPr>
              <w:t>X线骨密度仪</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三</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rPr>
              <w:t>1</w:t>
            </w:r>
          </w:p>
        </w:tc>
      </w:tr>
      <w:tr>
        <w:tblPrEx>
          <w:tblCellMar>
            <w:top w:w="15" w:type="dxa"/>
            <w:left w:w="15" w:type="dxa"/>
            <w:bottom w:w="15" w:type="dxa"/>
            <w:right w:w="15" w:type="dxa"/>
          </w:tblCellMar>
        </w:tblPrEx>
        <w:trPr>
          <w:wBefore w:w="0" w:type="auto"/>
          <w:wAfter w:w="0" w:type="auto"/>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8</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rPr>
              <w:t>体外冲击波碎石机</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三</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rPr>
              <w:t>1</w:t>
            </w:r>
          </w:p>
        </w:tc>
      </w:tr>
      <w:tr>
        <w:tblPrEx>
          <w:tblCellMar>
            <w:top w:w="15" w:type="dxa"/>
            <w:left w:w="15" w:type="dxa"/>
            <w:bottom w:w="15" w:type="dxa"/>
            <w:right w:w="15" w:type="dxa"/>
          </w:tblCellMar>
        </w:tblPrEx>
        <w:trPr>
          <w:wBefore w:w="0" w:type="auto"/>
          <w:wAfter w:w="0" w:type="auto"/>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9</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rPr>
              <w:t>数字口腔全景机</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三</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rPr>
              <w:t>1</w:t>
            </w:r>
          </w:p>
        </w:tc>
      </w:tr>
      <w:tr>
        <w:tblPrEx>
          <w:tblCellMar>
            <w:top w:w="15" w:type="dxa"/>
            <w:left w:w="15" w:type="dxa"/>
            <w:bottom w:w="15" w:type="dxa"/>
            <w:right w:w="15" w:type="dxa"/>
          </w:tblCellMar>
        </w:tblPrEx>
        <w:trPr>
          <w:wBefore w:w="0" w:type="auto"/>
          <w:wAfter w:w="0" w:type="auto"/>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10</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eastAsia="zh-CN"/>
              </w:rPr>
              <w:t>医用直线加速器</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二</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2</w:t>
            </w:r>
          </w:p>
        </w:tc>
      </w:tr>
      <w:tr>
        <w:tblPrEx>
          <w:tblCellMar>
            <w:top w:w="15" w:type="dxa"/>
            <w:left w:w="15" w:type="dxa"/>
            <w:bottom w:w="15" w:type="dxa"/>
            <w:right w:w="15" w:type="dxa"/>
          </w:tblCellMar>
        </w:tblPrEx>
        <w:trPr>
          <w:wBefore w:w="0" w:type="auto"/>
          <w:wAfter w:w="0" w:type="auto"/>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11</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Ir-192</w:t>
            </w:r>
            <w:r>
              <w:rPr>
                <w:rFonts w:hint="eastAsia" w:ascii="仿宋" w:hAnsi="仿宋" w:eastAsia="仿宋" w:cs="仿宋"/>
                <w:sz w:val="32"/>
                <w:szCs w:val="32"/>
                <w:lang w:eastAsia="zh-CN"/>
              </w:rPr>
              <w:t>后装机</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三</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1</w:t>
            </w:r>
          </w:p>
        </w:tc>
      </w:tr>
      <w:tr>
        <w:tblPrEx>
          <w:tblCellMar>
            <w:top w:w="15" w:type="dxa"/>
            <w:left w:w="15" w:type="dxa"/>
            <w:bottom w:w="15" w:type="dxa"/>
            <w:right w:w="15" w:type="dxa"/>
          </w:tblCellMar>
        </w:tblPrEx>
        <w:trPr>
          <w:wBefore w:w="0" w:type="auto"/>
          <w:wAfter w:w="0" w:type="auto"/>
          <w:trHeight w:val="291" w:hRule="atLeast"/>
        </w:trPr>
        <w:tc>
          <w:tcPr>
            <w:tcW w:w="96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p>
        </w:tc>
        <w:tc>
          <w:tcPr>
            <w:tcW w:w="34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模拟定位机</w:t>
            </w:r>
          </w:p>
        </w:tc>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三</w:t>
            </w:r>
          </w:p>
        </w:tc>
        <w:tc>
          <w:tcPr>
            <w:tcW w:w="264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4"/>
              <w:widowControl/>
              <w:wordWrap w:val="0"/>
              <w:spacing w:line="360" w:lineRule="auto"/>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E7A46B"/>
    <w:multiLevelType w:val="singleLevel"/>
    <w:tmpl w:val="58E7A46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18037D96"/>
    <w:rsid w:val="22245871"/>
    <w:rsid w:val="24095AFF"/>
    <w:rsid w:val="26FE06AB"/>
    <w:rsid w:val="30732574"/>
    <w:rsid w:val="34811D2B"/>
    <w:rsid w:val="366F708D"/>
    <w:rsid w:val="78A3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12</TotalTime>
  <ScaleCrop>false</ScaleCrop>
  <LinksUpToDate>false</LinksUpToDate>
  <CharactersWithSpaces>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花圣付</cp:lastModifiedBy>
  <dcterms:modified xsi:type="dcterms:W3CDTF">2020-12-04T08:06:22Z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