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失眠认知行为疗法管理系统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仿宋" w:hAnsi="仿宋" w:eastAsia="仿宋"/>
          <w:b/>
          <w:szCs w:val="21"/>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4"/>
        <w:gridCol w:w="3630"/>
        <w:gridCol w:w="798"/>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14" w:type="dxa"/>
            <w:gridSpan w:val="2"/>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本项目初步参数拟设置情况</w:t>
            </w:r>
          </w:p>
        </w:tc>
        <w:tc>
          <w:tcPr>
            <w:tcW w:w="798" w:type="dxa"/>
            <w:vMerge w:val="restart"/>
            <w:vAlign w:val="top"/>
          </w:tcPr>
          <w:p>
            <w:pPr>
              <w:keepNext w:val="0"/>
              <w:keepLines w:val="0"/>
              <w:pageBreakBefore w:val="0"/>
              <w:widowControl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bidi="ar-SA"/>
              </w:rPr>
            </w:pPr>
            <w:r>
              <w:rPr>
                <w:rFonts w:hint="eastAsia" w:ascii="仿宋" w:hAnsi="仿宋" w:eastAsia="仿宋"/>
                <w:b/>
                <w:szCs w:val="21"/>
              </w:rPr>
              <w:t>响应情况</w:t>
            </w:r>
          </w:p>
        </w:tc>
        <w:tc>
          <w:tcPr>
            <w:tcW w:w="1704" w:type="dxa"/>
            <w:vMerge w:val="restart"/>
            <w:vAlign w:val="top"/>
          </w:tcPr>
          <w:p>
            <w:pPr>
              <w:keepNext w:val="0"/>
              <w:keepLines w:val="0"/>
              <w:pageBreakBefore w:val="0"/>
              <w:widowControl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bidi="ar-SA"/>
              </w:rPr>
            </w:pPr>
            <w:r>
              <w:rPr>
                <w:rFonts w:hint="eastAsia" w:ascii="仿宋" w:hAnsi="仿宋" w:eastAsia="仿宋"/>
                <w:b/>
                <w:szCs w:val="21"/>
              </w:rPr>
              <w:t>建议修改指标</w:t>
            </w:r>
          </w:p>
        </w:tc>
        <w:tc>
          <w:tcPr>
            <w:tcW w:w="1704" w:type="dxa"/>
            <w:vMerge w:val="restart"/>
            <w:vAlign w:val="top"/>
          </w:tcPr>
          <w:p>
            <w:pPr>
              <w:keepNext w:val="0"/>
              <w:keepLines w:val="0"/>
              <w:pageBreakBefore w:val="0"/>
              <w:widowControl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bidi="ar-SA"/>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序号</w:t>
            </w:r>
          </w:p>
        </w:tc>
        <w:tc>
          <w:tcPr>
            <w:tcW w:w="3630" w:type="dxa"/>
            <w:vAlign w:val="top"/>
          </w:tcPr>
          <w:p>
            <w:pPr>
              <w:keepNext w:val="0"/>
              <w:keepLines w:val="0"/>
              <w:pageBreakBefore w:val="0"/>
              <w:widowControl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仿宋" w:cs="微软雅黑"/>
                <w:b w:val="0"/>
                <w:bCs w:val="0"/>
                <w:color w:val="auto"/>
                <w:sz w:val="24"/>
                <w:szCs w:val="24"/>
                <w:lang w:val="en-US" w:eastAsia="zh-CN" w:bidi="ar-SA"/>
              </w:rPr>
            </w:pPr>
            <w:r>
              <w:rPr>
                <w:rFonts w:hint="eastAsia" w:ascii="仿宋" w:hAnsi="仿宋" w:eastAsia="仿宋"/>
                <w:b/>
                <w:szCs w:val="21"/>
              </w:rPr>
              <w:t>参数</w:t>
            </w:r>
            <w:r>
              <w:rPr>
                <w:rFonts w:hint="eastAsia" w:ascii="仿宋" w:hAnsi="仿宋" w:eastAsia="仿宋"/>
                <w:b/>
                <w:szCs w:val="21"/>
                <w:lang w:eastAsia="zh-CN"/>
              </w:rPr>
              <w:t>要求</w:t>
            </w:r>
          </w:p>
        </w:tc>
        <w:tc>
          <w:tcPr>
            <w:tcW w:w="798"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基本要求：</w:t>
            </w:r>
            <w:r>
              <w:rPr>
                <w:rFonts w:hint="eastAsia" w:ascii="微软雅黑" w:hAnsi="微软雅黑" w:eastAsia="微软雅黑" w:cs="微软雅黑"/>
                <w:b w:val="0"/>
                <w:bCs w:val="0"/>
                <w:color w:val="auto"/>
                <w:sz w:val="24"/>
                <w:szCs w:val="24"/>
                <w:lang w:val="en-US" w:eastAsia="zh-CN"/>
              </w:rPr>
              <w:t>为保障医生与患者操作的便利性，本系统基于APP、微信、windows三平台，开展失眠认知行为疗法</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失眠认知行为疗法管理系统适应以下人群：入睡困难或睡眠维持困难；存在以下一项或多项情况者：a规律增加睡眠机会、b在清醒时延长卧床时间、c在卧室中从事除睡眠和性之外的活动；d条件性觉醒；e睡眠卫生知识不足。</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管理端软件：</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患者管理模块：标签化管理患者，查看详细信息，创建新的患者，导出患者的数据。</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查看每个患者的睡眠日记数据、个人资料，任务完成度等数据，并支持导出数据。</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支持输出科室专属二维码。</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可通过扫描二维码或手动创建、管理患者的资料信息。</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允许对患者备注多个标签，以用作不同的治疗环境和分类治疗。</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睡眠日记：支持患者每天记录自己的睡眠情况和睡眠数据管理，查看自己不同日期的睡眠日记以及周报告。</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方案管理功能：</w:t>
            </w:r>
            <w:r>
              <w:rPr>
                <w:rFonts w:hint="eastAsia" w:ascii="微软雅黑" w:hAnsi="微软雅黑" w:eastAsia="微软雅黑" w:cs="微软雅黑"/>
                <w:b w:val="0"/>
                <w:bCs w:val="0"/>
                <w:color w:val="auto"/>
                <w:sz w:val="24"/>
                <w:szCs w:val="24"/>
                <w:lang w:val="en-US" w:eastAsia="zh-CN"/>
              </w:rPr>
              <w:t>支持给用户开通方案，查看患者方案执行情况。当前提供的方案包含有CBTI系统方案，了解睡眠，睡眠限制，刺激控制，认知疗法，赶走忧虑，预防复发。方案包含有系列宣教视频、配套的巩固练习，填写睡眠日记等多项任务。</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任务管理功能：支持批量或一对一给用户开通具体任务，查看患者任务执行情况。当前包含的任务有填写睡眠日记，填写量表、获取睡眠处方，执行放松训练、完善资料提醒等。</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系统管理：支持科室管理端密码重设，并且创建多个登录账号。</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机构统计：管理员可以查看系统每日的相关数据，包括有入组总数，新增人数，进行治疗的人数，以及日均任务完成度等。</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报告生成及打印：支持检查报告单编辑、保存、打印输出功能，支持A5、A4等纸张打印。</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多媒体管理</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管理端软件支持在线播放相关课程视频以及音频文件，方便科室可以进行线下的团体治疗时使用。</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多媒体管理：支持医生上传录制讲解视频、音频上传，并作为宣教、放松训练加入治疗方案中。</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医患互动：支持医生和患者之间互相留言的功能，为医疗工作者和患者之间建立桥梁。</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活动管理：支持医院的活动管理，根据患者的量表填写情况自动给患者推荐方案。同时也支持患者在填写量表后自行领取推荐的方案。</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睡眠处方：系统根据用户上周平均睡眠时长计算得出的推荐上床时间，在系统推荐时间的±1小时的范围修改。每7天可更新一次，可以由医护人员直接修改患者的睡眠处方。</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放松训练：有腹式呼吸法、意象法-草原篇、意象法-海滩篇、渐进式肌肉放松法、正念-身体扫描课程。</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心情记录模块：患者可以自己添加忧虑及解决方法、信念。通过这种形式让患者在睡前较早的一个时间段内将忧虑处理好，有助于减少在睡前因此而引起的烦恼。通过记录信念来发现日常的不合理信念并且用认知重构方法来重建它们。</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消息提醒：根据用户的使用行为，智能地给用户推送温馨提示以及个性化任务，例如当发现用户没有持续填写睡眠日记时，会智能给用户发送关于坚持填写的好处、鼓励用户坚持填写的温馨提示，同时会给用户发送提醒开启推送通知的任务。</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查看所有量表汇总统计数据支持量表合并，并且可通过链接或二维码等方式使用。提供的量表包括有：匹兹堡睡眠质量指数量表（PSQI）、失眠严重指数量表（ISI）、广泛性焦虑量表（GAD7）、Eworth嗜睡量表、病人健康问卷抑郁量表（PHQ9）、阿森斯失眠量表（AIS）、Morisky服药依从性问卷、焦虑自评量表（SAS）、抑郁自评量表（SDS）、睡眠相关行为问卷、一般自我效能感量表、睡眠相关信念与态度量表、艾森克人格问卷、医学应对问卷、疲劳严重程度量表（FSS）、清醒型与夜晚型睡眠问卷（MEQ）、状态特质焦虑问卷（STAI）、LUBBEN社交网络量表、生活质量问卷（SF-36）。</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服药管理：支持患者记录每日服药的药物，用量，时间，支持管理端查看患者的服药细节以及总体趋势。</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患者端：</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系统方案：失眠认知行为治疗系统整合方案，包含有宣教视频、巩固练习、放松训练、睡眠处方睡眠日记等多个模块组成;支持自由组合任务生成计划</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为让患者更好理解CBTI内容，CBTI系统方案中的宣教视频采用风趣幽默的动画形式，提升患者的注意力及理解力。</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宣教视频分为六大章节——了解睡眠、睡眠限制、刺激控制、认知疗法、赶走忧虑、预防复发。管理员可以根据用户的情况分阶段给与用户执行。</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任务模块：根据开通的方案，每天会提醒用户应该执行的任务。完成后会标注，并反馈呈现在科室管理端中。</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睡眠卫生：提供与睡眠相关的卫生科普文章，告知患者怎么养成良好的睡眠卫生。包含睡眠规律、饮食篇、环境篇、运动篇、行为篇等文章。</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睡眠档案：支持患者添加病程记录（病历与病史）。</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电子报告：支持检查报告单编辑、保存、打印输出功能，支持A5、A4等纸张打印。</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个人信息页：患者可以在这里修改个人信息。</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消息提醒：根据用户的使用行为，智能地给用户推送温馨提示以，同时会给用户发送提醒开启推送通知的任务。</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登录注册模块：用户可以通过手机号登录注册。用户通过扫科室二维码登录注册、或者登录注册时填写科室ID，可以让用户跟科室关联起来。科室管理端可以查看关联的所有患者信息。</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硬件</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后台管理智能终端机</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操作系统：Win10系统</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CPU核心数：≥双核</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CPU频率：≥2.0GHz</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内存容量：≥4G</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治疗终端机4台</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操作系统：Android 8.0</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存储容量：≥32G</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系统内存：≥3G</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处理器核心数量：≥八核</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屏幕尺寸：≥10.1英寸触摸</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WIFI功能：支持</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激光打印机</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最高分辨率：≥600 x 600</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首页出纸时间：≥8.2秒</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USB：2.0以上端口</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自动升降台车</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隐藏电缆式设计</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防盗收纳箱</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 xml:space="preserve">路由器 </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LAN接口数量（千兆）：≥4个</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Wan口数量（千兆）：≥1个</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传输频段：可满足支持2.4GHz频段及5GHz频段</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传输速率：≥1200M</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3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质保：保质期</w:t>
            </w:r>
            <w:r>
              <w:rPr>
                <w:rFonts w:hint="eastAsia" w:ascii="微软雅黑" w:hAnsi="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lang w:val="en-US" w:eastAsia="zh-CN"/>
              </w:rPr>
              <w:t>年</w:t>
            </w:r>
            <w:r>
              <w:rPr>
                <w:rFonts w:hint="eastAsia" w:ascii="微软雅黑" w:hAnsi="微软雅黑" w:eastAsia="微软雅黑" w:cs="微软雅黑"/>
                <w:b w:val="0"/>
                <w:bCs/>
                <w:sz w:val="24"/>
                <w:szCs w:val="24"/>
                <w:lang w:val="en-US" w:eastAsia="zh-CN"/>
              </w:rPr>
              <w:t>（含所有零部件，包括须定期更换零部件）</w:t>
            </w:r>
          </w:p>
        </w:tc>
        <w:tc>
          <w:tcPr>
            <w:tcW w:w="79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704"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numPr>
                <w:ilvl w:val="0"/>
                <w:numId w:val="1"/>
              </w:numPr>
              <w:ind w:left="425" w:leftChars="0" w:hanging="425" w:firstLineChars="0"/>
              <w:rPr>
                <w:rFonts w:hint="eastAsia"/>
                <w:lang w:val="en-US" w:eastAsia="zh-CN"/>
              </w:rPr>
            </w:pPr>
          </w:p>
        </w:tc>
        <w:tc>
          <w:tcPr>
            <w:tcW w:w="3630" w:type="dxa"/>
          </w:tcPr>
          <w:p>
            <w:pPr>
              <w:rPr>
                <w:rFonts w:hint="eastAsia"/>
                <w:lang w:val="en-US" w:eastAsia="zh-CN"/>
              </w:rPr>
            </w:pPr>
            <w:r>
              <w:rPr>
                <w:rFonts w:hint="eastAsia"/>
                <w:lang w:val="en-US" w:eastAsia="zh-CN"/>
              </w:rPr>
              <w:t>软件免费终身升级。</w:t>
            </w:r>
          </w:p>
        </w:tc>
        <w:tc>
          <w:tcPr>
            <w:tcW w:w="798" w:type="dxa"/>
          </w:tcPr>
          <w:p>
            <w:pPr>
              <w:rPr>
                <w:rFonts w:hint="eastAsia"/>
                <w:lang w:val="en-US" w:eastAsia="zh-CN"/>
              </w:rPr>
            </w:pPr>
          </w:p>
        </w:tc>
        <w:tc>
          <w:tcPr>
            <w:tcW w:w="1704" w:type="dxa"/>
          </w:tcPr>
          <w:p>
            <w:pPr>
              <w:rPr>
                <w:rFonts w:hint="eastAsia"/>
                <w:lang w:val="en-US" w:eastAsia="zh-CN"/>
              </w:rPr>
            </w:pPr>
          </w:p>
        </w:tc>
        <w:tc>
          <w:tcPr>
            <w:tcW w:w="1704"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4" w:type="dxa"/>
          </w:tcPr>
          <w:p>
            <w:pPr>
              <w:numPr>
                <w:ilvl w:val="0"/>
                <w:numId w:val="1"/>
              </w:numPr>
              <w:ind w:left="425" w:leftChars="0" w:hanging="425" w:firstLineChars="0"/>
              <w:rPr>
                <w:rFonts w:hint="eastAsia"/>
                <w:lang w:val="en-US" w:eastAsia="zh-CN"/>
              </w:rPr>
            </w:pPr>
          </w:p>
        </w:tc>
        <w:tc>
          <w:tcPr>
            <w:tcW w:w="3630" w:type="dxa"/>
          </w:tcPr>
          <w:p>
            <w:pPr>
              <w:rPr>
                <w:rFonts w:hint="eastAsia"/>
                <w:lang w:val="en-US" w:eastAsia="zh-CN"/>
              </w:rPr>
            </w:pPr>
            <w:r>
              <w:rPr>
                <w:rFonts w:ascii="宋体" w:hAnsi="宋体" w:eastAsia="宋体"/>
                <w:sz w:val="24"/>
                <w:szCs w:val="24"/>
              </w:rPr>
              <w:t>提供近3年内同机型设备国内医院用户合同5家及以上（二级及以上公立医院），标书内提供清晰的合同原件扫描件并加盖公章（遮盖认定为无效业绩）</w:t>
            </w:r>
          </w:p>
        </w:tc>
        <w:tc>
          <w:tcPr>
            <w:tcW w:w="798" w:type="dxa"/>
          </w:tcPr>
          <w:p>
            <w:pPr>
              <w:rPr>
                <w:rFonts w:hint="eastAsia"/>
                <w:lang w:val="en-US" w:eastAsia="zh-CN"/>
              </w:rPr>
            </w:pPr>
          </w:p>
        </w:tc>
        <w:tc>
          <w:tcPr>
            <w:tcW w:w="1704" w:type="dxa"/>
          </w:tcPr>
          <w:p>
            <w:pPr>
              <w:rPr>
                <w:rFonts w:hint="eastAsia"/>
                <w:lang w:val="en-US" w:eastAsia="zh-CN"/>
              </w:rPr>
            </w:pPr>
          </w:p>
        </w:tc>
        <w:tc>
          <w:tcPr>
            <w:tcW w:w="1704" w:type="dxa"/>
          </w:tcPr>
          <w:p>
            <w:pPr>
              <w:rPr>
                <w:rFonts w:hint="eastAsia"/>
                <w:lang w:val="en-US" w:eastAsia="zh-CN"/>
              </w:rPr>
            </w:pPr>
          </w:p>
        </w:tc>
      </w:tr>
    </w:tbl>
    <w:p>
      <w:pPr>
        <w:pStyle w:val="2"/>
        <w:rPr>
          <w:rFonts w:hint="eastAsia" w:ascii="微软雅黑" w:hAnsi="微软雅黑" w:eastAsia="微软雅黑" w:cs="微软雅黑"/>
          <w:b w:val="0"/>
          <w:bCs w:val="0"/>
          <w:color w:val="auto"/>
          <w:sz w:val="24"/>
          <w:szCs w:val="24"/>
          <w:lang w:val="en-US" w:eastAsia="zh-CN"/>
        </w:rPr>
      </w:pPr>
    </w:p>
    <w:p>
      <w:pPr>
        <w:spacing w:line="280" w:lineRule="exact"/>
        <w:ind w:firstLine="440" w:firstLineChars="200"/>
        <w:rPr>
          <w:rFonts w:ascii="仿宋" w:hAnsi="仿宋" w:eastAsia="仿宋"/>
          <w:szCs w:val="21"/>
        </w:rPr>
      </w:pPr>
      <w:r>
        <w:rPr>
          <w:rFonts w:hint="eastAsia" w:ascii="仿宋" w:hAnsi="仿宋" w:eastAsia="仿宋"/>
          <w:szCs w:val="21"/>
        </w:rPr>
        <w:t>附：</w:t>
      </w:r>
    </w:p>
    <w:p>
      <w:pPr>
        <w:spacing w:line="280" w:lineRule="exact"/>
        <w:ind w:firstLine="44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560" w:type="dxa"/>
          </w:tcPr>
          <w:p>
            <w:pPr>
              <w:widowControl w:val="0"/>
              <w:spacing w:line="280" w:lineRule="exact"/>
              <w:jc w:val="both"/>
              <w:rPr>
                <w:rFonts w:ascii="仿宋" w:hAnsi="仿宋" w:eastAsia="仿宋"/>
                <w:szCs w:val="21"/>
              </w:rPr>
            </w:pPr>
            <w:r>
              <w:rPr>
                <w:rFonts w:hint="eastAsia" w:ascii="仿宋" w:hAnsi="仿宋" w:eastAsia="仿宋"/>
                <w:szCs w:val="21"/>
              </w:rPr>
              <w:t>耗材使用学科</w:t>
            </w:r>
          </w:p>
        </w:tc>
        <w:tc>
          <w:tcPr>
            <w:tcW w:w="992"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1559"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418"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3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795" w:type="dxa"/>
          </w:tcPr>
          <w:p>
            <w:pPr>
              <w:widowControl w:val="0"/>
              <w:spacing w:line="280" w:lineRule="exact"/>
              <w:jc w:val="both"/>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4"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3"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spacing w:line="280" w:lineRule="exact"/>
        <w:ind w:firstLine="440" w:firstLineChars="200"/>
        <w:rPr>
          <w:rFonts w:ascii="仿宋" w:hAnsi="仿宋" w:eastAsia="仿宋"/>
          <w:szCs w:val="21"/>
        </w:rPr>
      </w:pPr>
      <w:r>
        <w:rPr>
          <w:rFonts w:hint="eastAsia" w:ascii="仿宋" w:hAnsi="仿宋" w:eastAsia="仿宋"/>
          <w:szCs w:val="21"/>
        </w:rPr>
        <w:t xml:space="preserve"> </w:t>
      </w:r>
    </w:p>
    <w:p>
      <w:pPr>
        <w:spacing w:line="280" w:lineRule="exact"/>
        <w:ind w:firstLine="44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须定期更换零部件</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3"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pStyle w:val="2"/>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7D2C5"/>
    <w:multiLevelType w:val="singleLevel"/>
    <w:tmpl w:val="6957D2C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16B0"/>
    <w:rsid w:val="10F73108"/>
    <w:rsid w:val="1EA65891"/>
    <w:rsid w:val="1F4F1CFB"/>
    <w:rsid w:val="2B846BFF"/>
    <w:rsid w:val="35574748"/>
    <w:rsid w:val="3E631C30"/>
    <w:rsid w:val="53396AF8"/>
    <w:rsid w:val="615516B0"/>
    <w:rsid w:val="6AC44B0F"/>
    <w:rsid w:val="77051445"/>
    <w:rsid w:val="78FB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2020-10-19T23:22:00Z</dcterms:created>
  <dc:creator>王业群</dc:creator>
  <cp:lastModifiedBy>今晚打老虎จุ๊บ</cp:lastModifiedBy>
  <dcterms:modified xsi:type="dcterms:W3CDTF">2020-10-21T07:20:18Z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