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20" w:lineRule="exact"/>
        <w:jc w:val="center"/>
        <w:rPr>
          <w:rFonts w:ascii="仿宋" w:hAnsi="仿宋" w:eastAsia="仿宋"/>
          <w:sz w:val="24"/>
          <w:szCs w:val="24"/>
        </w:rPr>
      </w:pPr>
      <w:r>
        <w:rPr>
          <w:rFonts w:hint="eastAsia" w:asciiTheme="majorEastAsia" w:hAnsiTheme="majorEastAsia" w:eastAsiaTheme="majorEastAsia"/>
          <w:b/>
          <w:sz w:val="32"/>
          <w:szCs w:val="32"/>
        </w:rPr>
        <w:t>拟购</w:t>
      </w:r>
      <w:r>
        <w:rPr>
          <w:rFonts w:hint="eastAsia" w:asciiTheme="majorEastAsia" w:hAnsiTheme="majorEastAsia" w:eastAsiaTheme="majorEastAsia"/>
          <w:b/>
          <w:sz w:val="32"/>
          <w:szCs w:val="32"/>
          <w:u w:val="single"/>
          <w:lang w:val="en-US" w:eastAsia="zh-CN"/>
        </w:rPr>
        <w:t>体感音乐身心交互系统</w:t>
      </w:r>
      <w:r>
        <w:rPr>
          <w:rFonts w:hint="eastAsia" w:asciiTheme="majorEastAsia" w:hAnsiTheme="majorEastAsia" w:eastAsiaTheme="majorEastAsia"/>
          <w:b/>
          <w:sz w:val="32"/>
          <w:szCs w:val="32"/>
        </w:rPr>
        <w:t>项目初步参数论证征集意见表</w:t>
      </w:r>
    </w:p>
    <w:p>
      <w:pPr>
        <w:spacing w:line="320" w:lineRule="exact"/>
        <w:rPr>
          <w:rFonts w:ascii="仿宋" w:hAnsi="仿宋" w:eastAsia="仿宋"/>
          <w:sz w:val="24"/>
          <w:szCs w:val="24"/>
        </w:rPr>
      </w:pPr>
    </w:p>
    <w:p>
      <w:pPr>
        <w:spacing w:line="320" w:lineRule="exact"/>
        <w:rPr>
          <w:rFonts w:ascii="仿宋" w:hAnsi="仿宋" w:eastAsia="仿宋"/>
          <w:szCs w:val="21"/>
          <w:u w:val="single"/>
        </w:rPr>
      </w:pPr>
      <w:r>
        <w:rPr>
          <w:rFonts w:hint="eastAsia" w:ascii="仿宋" w:hAnsi="仿宋" w:eastAsia="仿宋"/>
          <w:szCs w:val="21"/>
        </w:rPr>
        <w:t>供应商、联系人及电话（加盖公章）：</w:t>
      </w:r>
      <w:r>
        <w:rPr>
          <w:rFonts w:hint="eastAsia" w:ascii="仿宋" w:hAnsi="仿宋" w:eastAsia="仿宋"/>
          <w:szCs w:val="21"/>
          <w:u w:val="single"/>
        </w:rPr>
        <w:t xml:space="preserve">                                                      </w:t>
      </w:r>
    </w:p>
    <w:p>
      <w:pPr>
        <w:spacing w:line="320" w:lineRule="exact"/>
        <w:rPr>
          <w:rFonts w:ascii="仿宋" w:hAnsi="仿宋" w:eastAsia="仿宋"/>
          <w:szCs w:val="21"/>
          <w:u w:val="single"/>
        </w:rPr>
      </w:pPr>
      <w:r>
        <w:rPr>
          <w:rFonts w:hint="eastAsia" w:ascii="仿宋" w:hAnsi="仿宋" w:eastAsia="仿宋"/>
          <w:szCs w:val="21"/>
        </w:rPr>
        <w:t>产品品牌、规格型号、产地、医疗器械注册证号及最低报价：</w:t>
      </w:r>
      <w:r>
        <w:rPr>
          <w:rFonts w:hint="eastAsia" w:ascii="仿宋" w:hAnsi="仿宋" w:eastAsia="仿宋"/>
          <w:szCs w:val="21"/>
          <w:u w:val="single"/>
        </w:rPr>
        <w:t xml:space="preserve">                                 </w:t>
      </w:r>
    </w:p>
    <w:p>
      <w:pPr>
        <w:spacing w:line="320" w:lineRule="exact"/>
        <w:rPr>
          <w:rFonts w:ascii="仿宋" w:hAnsi="仿宋" w:eastAsia="仿宋"/>
          <w:szCs w:val="21"/>
        </w:rPr>
      </w:pPr>
      <w:r>
        <w:rPr>
          <w:rFonts w:hint="eastAsia" w:ascii="仿宋" w:hAnsi="仿宋" w:eastAsia="仿宋"/>
          <w:b/>
          <w:szCs w:val="21"/>
        </w:rPr>
        <w:t>备注：</w:t>
      </w:r>
      <w:r>
        <w:rPr>
          <w:rFonts w:hint="eastAsia" w:ascii="仿宋" w:hAnsi="仿宋" w:eastAsia="仿宋"/>
          <w:szCs w:val="21"/>
        </w:rPr>
        <w:t>1、按要求格式填写并每页加盖报名供应商公章【电子章无效】，在规定时间内以</w:t>
      </w:r>
      <w:r>
        <w:rPr>
          <w:rFonts w:hint="eastAsia" w:ascii="仿宋" w:hAnsi="仿宋" w:eastAsia="仿宋"/>
          <w:b/>
          <w:szCs w:val="21"/>
        </w:rPr>
        <w:t>原件扫描件和电子版形式</w:t>
      </w:r>
      <w:r>
        <w:rPr>
          <w:rFonts w:hint="eastAsia" w:ascii="仿宋" w:hAnsi="仿宋" w:eastAsia="仿宋"/>
          <w:szCs w:val="21"/>
        </w:rPr>
        <w:t>发送至医院指定邮箱（</w:t>
      </w:r>
      <w:r>
        <w:rPr>
          <w:rFonts w:hint="eastAsia" w:ascii="仿宋" w:hAnsi="仿宋" w:eastAsia="仿宋"/>
          <w:szCs w:val="21"/>
          <w:u w:val="single"/>
        </w:rPr>
        <w:t>招标办</w:t>
      </w:r>
      <w:r>
        <w:rPr>
          <w:rFonts w:hint="eastAsia" w:ascii="仿宋" w:hAnsi="仿宋" w:eastAsia="仿宋"/>
          <w:szCs w:val="21"/>
        </w:rPr>
        <w:t>：2523245199@qq.com</w:t>
      </w:r>
      <w:r>
        <w:rPr>
          <w:rFonts w:hint="eastAsia" w:ascii="仿宋" w:hAnsi="仿宋" w:eastAsia="仿宋"/>
          <w:szCs w:val="21"/>
          <w:u w:val="single"/>
        </w:rPr>
        <w:t>和归口科室</w:t>
      </w:r>
      <w:r>
        <w:rPr>
          <w:rFonts w:hint="eastAsia" w:ascii="仿宋" w:hAnsi="仿宋" w:eastAsia="仿宋"/>
          <w:szCs w:val="21"/>
        </w:rPr>
        <w:t>【设备科</w:t>
      </w:r>
      <w:r>
        <w:rPr>
          <w:rFonts w:hint="eastAsia" w:ascii="仿宋" w:hAnsi="仿宋" w:eastAsia="仿宋"/>
          <w:szCs w:val="21"/>
          <w:lang w:eastAsia="zh-CN"/>
        </w:rPr>
        <w:t>☑</w:t>
      </w:r>
      <w:r>
        <w:rPr>
          <w:rFonts w:hint="eastAsia" w:ascii="仿宋" w:hAnsi="仿宋" w:eastAsia="仿宋"/>
          <w:szCs w:val="21"/>
        </w:rPr>
        <w:t>、信息科□、总务科□及其他□</w:t>
      </w:r>
      <w:r>
        <w:rPr>
          <w:rFonts w:hint="eastAsia" w:ascii="仿宋" w:hAnsi="仿宋" w:eastAsia="仿宋"/>
          <w:szCs w:val="21"/>
          <w:u w:val="single"/>
        </w:rPr>
        <w:t xml:space="preserve">          </w:t>
      </w:r>
      <w:r>
        <w:rPr>
          <w:rFonts w:hint="eastAsia" w:ascii="仿宋" w:hAnsi="仿宋" w:eastAsia="仿宋"/>
          <w:szCs w:val="21"/>
        </w:rPr>
        <w:t>】：</w:t>
      </w:r>
      <w:r>
        <w:rPr>
          <w:rFonts w:hint="eastAsia" w:ascii="仿宋" w:hAnsi="仿宋" w:eastAsia="仿宋"/>
          <w:szCs w:val="21"/>
          <w:u w:val="single"/>
          <w:lang w:val="en-US" w:eastAsia="zh-CN"/>
        </w:rPr>
        <w:fldChar w:fldCharType="begin"/>
      </w:r>
      <w:r>
        <w:rPr>
          <w:rFonts w:hint="eastAsia" w:ascii="仿宋" w:hAnsi="仿宋" w:eastAsia="仿宋"/>
          <w:szCs w:val="21"/>
          <w:u w:val="single"/>
          <w:lang w:val="en-US" w:eastAsia="zh-CN"/>
        </w:rPr>
        <w:instrText xml:space="preserve"> HYPERLINK "mailto:3362790562@qq.com）；" </w:instrText>
      </w:r>
      <w:r>
        <w:rPr>
          <w:rFonts w:hint="eastAsia" w:ascii="仿宋" w:hAnsi="仿宋" w:eastAsia="仿宋"/>
          <w:szCs w:val="21"/>
          <w:u w:val="single"/>
          <w:lang w:val="en-US" w:eastAsia="zh-CN"/>
        </w:rPr>
        <w:fldChar w:fldCharType="separate"/>
      </w:r>
      <w:r>
        <w:rPr>
          <w:rStyle w:val="6"/>
          <w:rFonts w:hint="eastAsia" w:ascii="仿宋" w:hAnsi="仿宋" w:eastAsia="仿宋"/>
          <w:szCs w:val="21"/>
          <w:lang w:val="en-US" w:eastAsia="zh-CN"/>
        </w:rPr>
        <w:t>3362790562@qq.com</w:t>
      </w:r>
      <w:r>
        <w:rPr>
          <w:rStyle w:val="6"/>
          <w:rFonts w:hint="eastAsia" w:ascii="仿宋" w:hAnsi="仿宋" w:eastAsia="仿宋"/>
          <w:szCs w:val="21"/>
        </w:rPr>
        <w:t>）；</w:t>
      </w:r>
      <w:r>
        <w:rPr>
          <w:rFonts w:hint="eastAsia" w:ascii="仿宋" w:hAnsi="仿宋" w:eastAsia="仿宋"/>
          <w:szCs w:val="21"/>
          <w:u w:val="single"/>
          <w:lang w:val="en-US" w:eastAsia="zh-CN"/>
        </w:rPr>
        <w:fldChar w:fldCharType="end"/>
      </w:r>
      <w:r>
        <w:rPr>
          <w:rFonts w:hint="eastAsia" w:ascii="仿宋" w:hAnsi="仿宋" w:eastAsia="仿宋"/>
          <w:szCs w:val="21"/>
          <w:lang w:val="en-US" w:eastAsia="zh-CN"/>
        </w:rPr>
        <w:t xml:space="preserve">        </w:t>
      </w:r>
      <w:r>
        <w:rPr>
          <w:rFonts w:hint="eastAsia" w:ascii="仿宋" w:hAnsi="仿宋" w:eastAsia="仿宋"/>
          <w:szCs w:val="21"/>
        </w:rPr>
        <w:t>2、响应情况（是/否）若为否则继续填写具体建议修改指标，建议修改指标须慎重填写（该指标若为独家则无效，原则上须满足业界主流品牌同档次水平产品），</w:t>
      </w:r>
      <w:r>
        <w:rPr>
          <w:rFonts w:hint="eastAsia" w:ascii="仿宋" w:hAnsi="仿宋" w:eastAsia="仿宋"/>
          <w:b/>
          <w:szCs w:val="21"/>
          <w:u w:val="single"/>
        </w:rPr>
        <w:t>同时务必备注本品牌本规格型号产品相对应的真实指标并标注是否为独家（供医院汇总定稿版参数时选择）；</w:t>
      </w:r>
    </w:p>
    <w:p>
      <w:pPr>
        <w:spacing w:line="320" w:lineRule="exact"/>
        <w:rPr>
          <w:rFonts w:hint="eastAsia" w:ascii="微软雅黑" w:hAnsi="微软雅黑" w:eastAsia="微软雅黑" w:cs="微软雅黑"/>
          <w:b/>
          <w:bCs/>
          <w:color w:val="auto"/>
          <w:sz w:val="24"/>
          <w:szCs w:val="24"/>
          <w:lang w:val="en-US" w:eastAsia="zh-CN"/>
        </w:rPr>
      </w:pPr>
      <w:r>
        <w:rPr>
          <w:rFonts w:hint="eastAsia" w:ascii="仿宋" w:hAnsi="仿宋" w:eastAsia="仿宋"/>
          <w:szCs w:val="21"/>
        </w:rPr>
        <w:t xml:space="preserve">   </w:t>
      </w:r>
      <w:r>
        <w:rPr>
          <w:rFonts w:hint="eastAsia" w:ascii="仿宋" w:hAnsi="仿宋" w:eastAsia="仿宋"/>
          <w:b/>
          <w:szCs w:val="21"/>
        </w:rPr>
        <w:t>附件：配套耗材、试剂【单人次费用】及须定期更换零部件报价清单（样表【若无则标注“无”且不可删除】、可单列）</w:t>
      </w:r>
    </w:p>
    <w:tbl>
      <w:tblPr>
        <w:tblStyle w:val="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8" w:type="dxa"/>
          <w:right w:w="108" w:type="dxa"/>
        </w:tblCellMar>
      </w:tblPr>
      <w:tblGrid>
        <w:gridCol w:w="800"/>
        <w:gridCol w:w="3690"/>
        <w:gridCol w:w="728"/>
        <w:gridCol w:w="1652"/>
        <w:gridCol w:w="16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4490" w:type="dxa"/>
            <w:gridSpan w:val="2"/>
          </w:tcPr>
          <w:p>
            <w:pPr>
              <w:pStyle w:val="2"/>
              <w:rPr>
                <w:rFonts w:hint="eastAsia"/>
                <w:lang w:val="en-US" w:eastAsia="zh-CN"/>
              </w:rPr>
            </w:pPr>
            <w:r>
              <w:rPr>
                <w:rFonts w:hint="eastAsia" w:ascii="仿宋" w:hAnsi="仿宋" w:eastAsia="仿宋"/>
                <w:b/>
                <w:szCs w:val="21"/>
              </w:rPr>
              <w:t>本项目初步参数拟设置情况</w:t>
            </w:r>
          </w:p>
        </w:tc>
        <w:tc>
          <w:tcPr>
            <w:tcW w:w="728" w:type="dxa"/>
            <w:vMerge w:val="restart"/>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仿宋" w:hAnsi="仿宋" w:eastAsia="仿宋"/>
                <w:b/>
                <w:szCs w:val="21"/>
              </w:rPr>
              <w:t>响应情况</w:t>
            </w:r>
          </w:p>
        </w:tc>
        <w:tc>
          <w:tcPr>
            <w:tcW w:w="1652" w:type="dxa"/>
            <w:vMerge w:val="restart"/>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仿宋" w:hAnsi="仿宋" w:eastAsia="仿宋"/>
                <w:b/>
                <w:szCs w:val="21"/>
              </w:rPr>
              <w:t>建议修改指标</w:t>
            </w:r>
          </w:p>
        </w:tc>
        <w:tc>
          <w:tcPr>
            <w:tcW w:w="1652" w:type="dxa"/>
            <w:vMerge w:val="restart"/>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仿宋" w:hAnsi="仿宋" w:eastAsia="仿宋"/>
                <w:b/>
                <w:szCs w:val="21"/>
              </w:rPr>
              <w:t>备注（真实指标、是否独家）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rPr>
          <w:trHeight w:val="538" w:hRule="atLeast"/>
        </w:trPr>
        <w:tc>
          <w:tcPr>
            <w:tcW w:w="80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仿宋" w:hAnsi="仿宋" w:eastAsia="仿宋"/>
                <w:b/>
                <w:szCs w:val="21"/>
              </w:rPr>
              <w:t>序号</w:t>
            </w: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仿宋" w:hAnsi="仿宋" w:eastAsia="仿宋"/>
                <w:b/>
                <w:szCs w:val="21"/>
              </w:rPr>
              <w:t>参数</w:t>
            </w:r>
            <w:r>
              <w:rPr>
                <w:rFonts w:hint="eastAsia" w:ascii="仿宋" w:hAnsi="仿宋" w:eastAsia="仿宋"/>
                <w:b/>
                <w:szCs w:val="21"/>
                <w:lang w:eastAsia="zh-CN"/>
              </w:rPr>
              <w:t>要求</w:t>
            </w:r>
          </w:p>
        </w:tc>
        <w:tc>
          <w:tcPr>
            <w:tcW w:w="728" w:type="dxa"/>
            <w:vMerge w:val="continue"/>
            <w:tcBorders/>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vMerge w:val="continue"/>
            <w:tcBorders/>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vMerge w:val="continue"/>
            <w:tcBorders/>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结构组成</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承载设备：用于音乐振动刺激装置的设备。</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音乐振动刺激装置：用于音乐振动刺激的核心控制设备与刺激装置。</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操控设备：用于控制音乐振动刺激装置的操作平台。</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音乐振动刺激控制装置性能指标</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音乐振动刺激通信：支持有线网络和无线网络通信能力。</w:t>
            </w:r>
            <w:bookmarkStart w:id="0" w:name="_Toc487487503"/>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音乐刺激信号输出</w:t>
            </w:r>
            <w:bookmarkEnd w:id="0"/>
            <w:r>
              <w:rPr>
                <w:rFonts w:hint="eastAsia" w:ascii="微软雅黑" w:hAnsi="微软雅黑" w:eastAsia="微软雅黑" w:cs="微软雅黑"/>
                <w:b w:val="0"/>
                <w:bCs w:val="0"/>
                <w:color w:val="auto"/>
                <w:sz w:val="24"/>
                <w:szCs w:val="24"/>
                <w:lang w:val="en-US" w:eastAsia="zh-CN"/>
              </w:rPr>
              <w:t>：</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耳机模式：提供通用头戴式耳机出口能力。</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功放模式：提供2x25W的双声道输出能力。</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bookmarkStart w:id="1" w:name="_Toc487487504"/>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振动周期刺激信号输出</w:t>
            </w:r>
            <w:bookmarkEnd w:id="1"/>
            <w:r>
              <w:rPr>
                <w:rFonts w:hint="eastAsia" w:ascii="微软雅黑" w:hAnsi="微软雅黑" w:eastAsia="微软雅黑" w:cs="微软雅黑"/>
                <w:b w:val="0"/>
                <w:bCs w:val="0"/>
                <w:color w:val="auto"/>
                <w:sz w:val="24"/>
                <w:szCs w:val="24"/>
                <w:lang w:val="en-US" w:eastAsia="zh-CN"/>
              </w:rPr>
              <w:t xml:space="preserve">： </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线性输出：提供6x50W的输出能力。</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非线性输出：提供2x100W的PWM输出能力。</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硬件参数：</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CPU: 1GHzcortexA8</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内存：512MB，板载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FLASH：512MB，板载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SDcard：32G，外扩TF卡类型</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以太网：100M，板载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USB：2.0，板载从设备</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WIFI：2.4G，外扩USB无线网卡</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Audio：8路，每路50W/2Ω、30W/4Ω驱动能力（一路共用耳机），预留2x8pin3.96mm底座，信号分别为：输出1+、1-、2+、2-、3+、3-、8+、8-；其中耳机输出预留2x2pin3.96mm底座，信号分别为左声道、右声道、耳机检测、公共地信号。</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Pwm：两路，每路12V/100W，输出为2x2pin 3.96mm底座。</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电源输入：12V/5A预设电流。</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音乐振动刺激</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音乐振动刺激装置：为床体式。</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音乐振动刺激方式：头部、腿部及腰部高度为三段可自由调节方式，提高音乐振动刺激的舒适度和贴合度，充分实现振动刺激放松的效果，避免产生共振效应带来的恶心等不适感。</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控制软件功能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控制软件可满足Windows系统软件运行平台</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模式设置</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模式选择：选择已设置好的改善、调理等模式。</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模式设置：自定义设置改善、调理等模式。</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模式更新：从服务器更新最新改善、调理等模式。</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功能操作</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提供暂停、启动、加速等操作功能。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参数设置功能：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包含设备的配置信息，以及操作权限等功能的配置。</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自定义功能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自定义设置改善、调理等方案与播放曲目，可设置每一个细节。</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体感振动音乐助眠系统功能</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AI智能应用于体感振动音乐助眠系统，即音乐振动刺激方案均经AI训练生成。</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一机多控智能连接，多台音乐振动刺激设备同步在线支持。</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针对睡眠、情绪、老年性康复、疼痛、亚健康等症状的改善、缓解和调理开发的500多个方案，满足多种情况的需求。</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振动刺激方式：</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与音乐同步时，方案需经人工智能（AI）学习训练，实现不同部位产生不同的振动刺激；</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自定义振动方式：聆听音乐时，可根据需要，每个振动器均可自定义振动方式（调节强度、频率），且可随时进行调节。</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必须避免因产生共振而导致恶心、胸闷等的不适感，获得舒适的按摩放松体会。</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bCs/>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bCs/>
                <w:color w:val="auto"/>
                <w:sz w:val="24"/>
                <w:szCs w:val="24"/>
                <w:lang w:val="en-US" w:eastAsia="zh-CN"/>
              </w:rPr>
            </w:pPr>
            <w:r>
              <w:rPr>
                <w:rFonts w:hint="eastAsia" w:ascii="微软雅黑" w:hAnsi="微软雅黑" w:eastAsia="微软雅黑" w:cs="微软雅黑"/>
                <w:b/>
                <w:bCs/>
                <w:color w:val="auto"/>
                <w:sz w:val="24"/>
                <w:szCs w:val="24"/>
                <w:lang w:val="en-US" w:eastAsia="zh-CN"/>
              </w:rPr>
              <w:t>扩展延伸服务</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bCs/>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hint="eastAsia" w:ascii="微软雅黑" w:hAnsi="微软雅黑" w:eastAsia="微软雅黑" w:cs="微软雅黑"/>
                <w:b w:val="0"/>
                <w:bCs w:val="0"/>
                <w:color w:val="auto"/>
                <w:sz w:val="24"/>
                <w:szCs w:val="24"/>
                <w:lang w:val="en-US" w:eastAsia="zh-CN"/>
              </w:rPr>
              <w:t>为一机多控智能连接，可预留设备添加配置端口。</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hint="eastAsia" w:ascii="微软雅黑" w:hAnsi="微软雅黑" w:eastAsia="微软雅黑" w:cs="微软雅黑"/>
                <w:b w:val="0"/>
                <w:bCs w:val="0"/>
                <w:color w:val="auto"/>
                <w:sz w:val="24"/>
                <w:szCs w:val="24"/>
                <w:lang w:val="en-US" w:eastAsia="zh-CN"/>
              </w:rPr>
            </w:pPr>
            <w:r>
              <w:rPr>
                <w:rFonts w:ascii="宋体" w:hAnsi="宋体" w:eastAsia="宋体"/>
                <w:sz w:val="24"/>
                <w:szCs w:val="24"/>
              </w:rPr>
              <w:t>提供近3年内同机型设备国内医院用户合同5家及以上（二级及以上公立医院），标书内提供清晰的合同原件扫描件并加盖公章（遮盖认定为无效业绩）</w:t>
            </w:r>
            <w:r>
              <w:rPr>
                <w:rFonts w:hint="eastAsia" w:ascii="宋体" w:hAnsi="宋体" w:eastAsia="宋体"/>
                <w:sz w:val="24"/>
                <w:szCs w:val="24"/>
              </w:rPr>
              <w:t>。</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left w:w="108" w:type="dxa"/>
            <w:right w:w="108" w:type="dxa"/>
          </w:tblCellMar>
        </w:tblPrEx>
        <w:tc>
          <w:tcPr>
            <w:tcW w:w="800" w:type="dxa"/>
          </w:tcPr>
          <w:p>
            <w:pPr>
              <w:keepNext w:val="0"/>
              <w:keepLines w:val="0"/>
              <w:pageBreakBefore w:val="0"/>
              <w:numPr>
                <w:ilvl w:val="0"/>
                <w:numId w:val="1"/>
              </w:numPr>
              <w:kinsoku/>
              <w:wordWrap/>
              <w:overflowPunct/>
              <w:topLinePunct w:val="0"/>
              <w:autoSpaceDE/>
              <w:bidi w:val="0"/>
              <w:adjustRightInd/>
              <w:snapToGrid/>
              <w:spacing w:before="0" w:beforeLines="0" w:after="0" w:afterLines="0" w:line="480" w:lineRule="exact"/>
              <w:ind w:left="425" w:leftChars="0" w:right="0" w:rightChars="0" w:hanging="425" w:firstLineChars="0"/>
              <w:jc w:val="both"/>
              <w:textAlignment w:val="auto"/>
              <w:rPr>
                <w:rFonts w:hint="eastAsia" w:ascii="微软雅黑" w:hAnsi="微软雅黑" w:eastAsia="微软雅黑" w:cs="微软雅黑"/>
                <w:b w:val="0"/>
                <w:bCs w:val="0"/>
                <w:color w:val="auto"/>
                <w:sz w:val="24"/>
                <w:szCs w:val="24"/>
                <w:lang w:val="en-US" w:eastAsia="zh-CN"/>
              </w:rPr>
            </w:pPr>
          </w:p>
        </w:tc>
        <w:tc>
          <w:tcPr>
            <w:tcW w:w="3690"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jc w:val="both"/>
              <w:textAlignment w:val="auto"/>
              <w:rPr>
                <w:rFonts w:ascii="宋体" w:hAnsi="宋体" w:eastAsia="宋体"/>
                <w:sz w:val="24"/>
                <w:szCs w:val="24"/>
              </w:rPr>
            </w:pPr>
            <w:r>
              <w:rPr>
                <w:rFonts w:hint="eastAsia" w:ascii="微软雅黑" w:hAnsi="微软雅黑" w:eastAsia="微软雅黑" w:cs="微软雅黑"/>
                <w:b w:val="0"/>
                <w:bCs w:val="0"/>
                <w:color w:val="auto"/>
                <w:sz w:val="24"/>
                <w:szCs w:val="24"/>
                <w:lang w:val="en-US" w:eastAsia="zh-CN"/>
              </w:rPr>
              <w:t>质保：保质期</w:t>
            </w:r>
            <w:r>
              <w:rPr>
                <w:rFonts w:hint="eastAsia" w:ascii="微软雅黑" w:hAnsi="微软雅黑" w:cs="微软雅黑"/>
                <w:b w:val="0"/>
                <w:bCs w:val="0"/>
                <w:color w:val="auto"/>
                <w:sz w:val="24"/>
                <w:szCs w:val="24"/>
                <w:lang w:val="en-US" w:eastAsia="zh-CN"/>
              </w:rPr>
              <w:t>3</w:t>
            </w:r>
            <w:r>
              <w:rPr>
                <w:rFonts w:hint="eastAsia" w:ascii="微软雅黑" w:hAnsi="微软雅黑" w:eastAsia="微软雅黑" w:cs="微软雅黑"/>
                <w:b w:val="0"/>
                <w:bCs w:val="0"/>
                <w:color w:val="auto"/>
                <w:sz w:val="24"/>
                <w:szCs w:val="24"/>
                <w:lang w:val="en-US" w:eastAsia="zh-CN"/>
              </w:rPr>
              <w:t>年，</w:t>
            </w:r>
            <w:r>
              <w:rPr>
                <w:rFonts w:hint="eastAsia" w:ascii="微软雅黑" w:hAnsi="微软雅黑" w:eastAsia="微软雅黑" w:cs="微软雅黑"/>
                <w:b w:val="0"/>
                <w:bCs/>
                <w:sz w:val="24"/>
                <w:szCs w:val="24"/>
                <w:lang w:val="en-US" w:eastAsia="zh-CN"/>
              </w:rPr>
              <w:t>（含所有零部件，包括须定期更换零部件）</w:t>
            </w:r>
          </w:p>
        </w:tc>
        <w:tc>
          <w:tcPr>
            <w:tcW w:w="728"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c>
          <w:tcPr>
            <w:tcW w:w="1652" w:type="dxa"/>
          </w:tcPr>
          <w:p>
            <w:pPr>
              <w:keepNext w:val="0"/>
              <w:keepLines w:val="0"/>
              <w:pageBreakBefore w:val="0"/>
              <w:kinsoku/>
              <w:wordWrap/>
              <w:overflowPunct/>
              <w:topLinePunct w:val="0"/>
              <w:autoSpaceDE/>
              <w:bidi w:val="0"/>
              <w:adjustRightInd/>
              <w:snapToGrid/>
              <w:spacing w:before="0" w:beforeLines="0" w:after="0" w:afterLines="0" w:line="480" w:lineRule="exact"/>
              <w:ind w:right="0" w:rightChars="0" w:firstLine="480" w:firstLineChars="200"/>
              <w:jc w:val="both"/>
              <w:textAlignment w:val="auto"/>
              <w:rPr>
                <w:rFonts w:hint="eastAsia" w:ascii="微软雅黑" w:hAnsi="微软雅黑" w:eastAsia="微软雅黑" w:cs="微软雅黑"/>
                <w:b w:val="0"/>
                <w:bCs w:val="0"/>
                <w:color w:val="auto"/>
                <w:sz w:val="24"/>
                <w:szCs w:val="24"/>
                <w:lang w:val="en-US" w:eastAsia="zh-CN"/>
              </w:rPr>
            </w:pPr>
          </w:p>
        </w:tc>
      </w:tr>
    </w:tbl>
    <w:p/>
    <w:p>
      <w:pPr>
        <w:pStyle w:val="2"/>
      </w:pPr>
    </w:p>
    <w:p>
      <w:pPr>
        <w:spacing w:line="280" w:lineRule="exact"/>
        <w:ind w:firstLine="440" w:firstLineChars="200"/>
        <w:rPr>
          <w:rFonts w:ascii="仿宋" w:hAnsi="仿宋" w:eastAsia="仿宋"/>
          <w:szCs w:val="21"/>
        </w:rPr>
      </w:pPr>
      <w:r>
        <w:rPr>
          <w:rFonts w:hint="eastAsia" w:ascii="仿宋" w:hAnsi="仿宋" w:eastAsia="仿宋"/>
          <w:szCs w:val="21"/>
        </w:rPr>
        <w:t>附：</w:t>
      </w:r>
    </w:p>
    <w:p>
      <w:pPr>
        <w:spacing w:line="280" w:lineRule="exact"/>
        <w:ind w:firstLine="440" w:firstLineChars="200"/>
        <w:rPr>
          <w:rFonts w:ascii="仿宋" w:hAnsi="仿宋" w:eastAsia="仿宋"/>
          <w:szCs w:val="21"/>
        </w:rPr>
      </w:pPr>
      <w:r>
        <w:rPr>
          <w:rFonts w:hint="eastAsia" w:ascii="仿宋" w:hAnsi="仿宋" w:eastAsia="仿宋"/>
          <w:szCs w:val="21"/>
        </w:rPr>
        <w:t xml:space="preserve">    配套耗材报价清单（样表，可单列且加盖公章）  </w:t>
      </w:r>
    </w:p>
    <w:tbl>
      <w:tblPr>
        <w:tblStyle w:val="4"/>
        <w:tblW w:w="10133"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560"/>
        <w:gridCol w:w="992"/>
        <w:gridCol w:w="1559"/>
        <w:gridCol w:w="1418"/>
        <w:gridCol w:w="1134"/>
        <w:gridCol w:w="27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560" w:type="dxa"/>
          </w:tcPr>
          <w:p>
            <w:pPr>
              <w:widowControl w:val="0"/>
              <w:spacing w:line="280" w:lineRule="exact"/>
              <w:jc w:val="both"/>
              <w:rPr>
                <w:rFonts w:ascii="仿宋" w:hAnsi="仿宋" w:eastAsia="仿宋"/>
                <w:szCs w:val="21"/>
              </w:rPr>
            </w:pPr>
            <w:r>
              <w:rPr>
                <w:rFonts w:hint="eastAsia" w:ascii="仿宋" w:hAnsi="仿宋" w:eastAsia="仿宋"/>
                <w:szCs w:val="21"/>
              </w:rPr>
              <w:t>耗材使用学科</w:t>
            </w:r>
          </w:p>
        </w:tc>
        <w:tc>
          <w:tcPr>
            <w:tcW w:w="992" w:type="dxa"/>
          </w:tcPr>
          <w:p>
            <w:pPr>
              <w:widowControl w:val="0"/>
              <w:spacing w:line="280" w:lineRule="exact"/>
              <w:jc w:val="both"/>
              <w:rPr>
                <w:rFonts w:ascii="仿宋" w:hAnsi="仿宋" w:eastAsia="仿宋"/>
                <w:szCs w:val="21"/>
              </w:rPr>
            </w:pPr>
            <w:r>
              <w:rPr>
                <w:rFonts w:hint="eastAsia" w:ascii="仿宋" w:hAnsi="仿宋" w:eastAsia="仿宋"/>
                <w:szCs w:val="21"/>
              </w:rPr>
              <w:t>名称</w:t>
            </w:r>
          </w:p>
        </w:tc>
        <w:tc>
          <w:tcPr>
            <w:tcW w:w="1559"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418"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34"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795" w:type="dxa"/>
          </w:tcPr>
          <w:p>
            <w:pPr>
              <w:widowControl w:val="0"/>
              <w:spacing w:line="280" w:lineRule="exact"/>
              <w:jc w:val="both"/>
              <w:rPr>
                <w:rFonts w:ascii="仿宋" w:hAnsi="仿宋" w:eastAsia="仿宋"/>
                <w:szCs w:val="21"/>
              </w:rPr>
            </w:pPr>
            <w:r>
              <w:rPr>
                <w:rFonts w:hint="eastAsia" w:ascii="仿宋" w:hAnsi="仿宋" w:eastAsia="仿宋"/>
                <w:b/>
                <w:szCs w:val="21"/>
              </w:rPr>
              <w:t>经消毒合格后建议使用次数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560" w:type="dxa"/>
          </w:tcPr>
          <w:p>
            <w:pPr>
              <w:widowControl w:val="0"/>
              <w:spacing w:line="280" w:lineRule="exact"/>
              <w:jc w:val="both"/>
              <w:rPr>
                <w:rFonts w:ascii="仿宋" w:hAnsi="仿宋" w:eastAsia="仿宋"/>
                <w:szCs w:val="21"/>
              </w:rPr>
            </w:pPr>
          </w:p>
        </w:tc>
        <w:tc>
          <w:tcPr>
            <w:tcW w:w="992" w:type="dxa"/>
          </w:tcPr>
          <w:p>
            <w:pPr>
              <w:widowControl w:val="0"/>
              <w:spacing w:line="280" w:lineRule="exact"/>
              <w:jc w:val="both"/>
              <w:rPr>
                <w:rFonts w:ascii="仿宋" w:hAnsi="仿宋" w:eastAsia="仿宋"/>
                <w:szCs w:val="21"/>
              </w:rPr>
            </w:pPr>
          </w:p>
        </w:tc>
        <w:tc>
          <w:tcPr>
            <w:tcW w:w="1559" w:type="dxa"/>
          </w:tcPr>
          <w:p>
            <w:pPr>
              <w:widowControl w:val="0"/>
              <w:spacing w:line="280" w:lineRule="exact"/>
              <w:jc w:val="both"/>
              <w:rPr>
                <w:rFonts w:ascii="仿宋" w:hAnsi="仿宋" w:eastAsia="仿宋"/>
                <w:szCs w:val="21"/>
              </w:rPr>
            </w:pPr>
          </w:p>
        </w:tc>
        <w:tc>
          <w:tcPr>
            <w:tcW w:w="1418" w:type="dxa"/>
          </w:tcPr>
          <w:p>
            <w:pPr>
              <w:widowControl w:val="0"/>
              <w:spacing w:line="280" w:lineRule="exact"/>
              <w:jc w:val="both"/>
              <w:rPr>
                <w:rFonts w:ascii="仿宋" w:hAnsi="仿宋" w:eastAsia="仿宋"/>
                <w:szCs w:val="21"/>
              </w:rPr>
            </w:pPr>
          </w:p>
        </w:tc>
        <w:tc>
          <w:tcPr>
            <w:tcW w:w="1134" w:type="dxa"/>
          </w:tcPr>
          <w:p>
            <w:pPr>
              <w:widowControl w:val="0"/>
              <w:spacing w:line="280" w:lineRule="exact"/>
              <w:jc w:val="both"/>
              <w:rPr>
                <w:rFonts w:ascii="仿宋" w:hAnsi="仿宋" w:eastAsia="仿宋"/>
                <w:szCs w:val="21"/>
              </w:rPr>
            </w:pPr>
          </w:p>
        </w:tc>
        <w:tc>
          <w:tcPr>
            <w:tcW w:w="2795"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560" w:type="dxa"/>
          </w:tcPr>
          <w:p>
            <w:pPr>
              <w:widowControl w:val="0"/>
              <w:spacing w:line="280" w:lineRule="exact"/>
              <w:jc w:val="both"/>
              <w:rPr>
                <w:rFonts w:ascii="仿宋" w:hAnsi="仿宋" w:eastAsia="仿宋"/>
                <w:szCs w:val="21"/>
              </w:rPr>
            </w:pPr>
          </w:p>
        </w:tc>
        <w:tc>
          <w:tcPr>
            <w:tcW w:w="992" w:type="dxa"/>
          </w:tcPr>
          <w:p>
            <w:pPr>
              <w:widowControl w:val="0"/>
              <w:spacing w:line="280" w:lineRule="exact"/>
              <w:jc w:val="both"/>
              <w:rPr>
                <w:rFonts w:ascii="仿宋" w:hAnsi="仿宋" w:eastAsia="仿宋"/>
                <w:szCs w:val="21"/>
              </w:rPr>
            </w:pPr>
          </w:p>
        </w:tc>
        <w:tc>
          <w:tcPr>
            <w:tcW w:w="1559" w:type="dxa"/>
          </w:tcPr>
          <w:p>
            <w:pPr>
              <w:widowControl w:val="0"/>
              <w:spacing w:line="280" w:lineRule="exact"/>
              <w:jc w:val="both"/>
              <w:rPr>
                <w:rFonts w:ascii="仿宋" w:hAnsi="仿宋" w:eastAsia="仿宋"/>
                <w:szCs w:val="21"/>
              </w:rPr>
            </w:pPr>
          </w:p>
        </w:tc>
        <w:tc>
          <w:tcPr>
            <w:tcW w:w="1418" w:type="dxa"/>
          </w:tcPr>
          <w:p>
            <w:pPr>
              <w:widowControl w:val="0"/>
              <w:spacing w:line="280" w:lineRule="exact"/>
              <w:jc w:val="both"/>
              <w:rPr>
                <w:rFonts w:ascii="仿宋" w:hAnsi="仿宋" w:eastAsia="仿宋"/>
                <w:szCs w:val="21"/>
              </w:rPr>
            </w:pPr>
          </w:p>
        </w:tc>
        <w:tc>
          <w:tcPr>
            <w:tcW w:w="1134" w:type="dxa"/>
          </w:tcPr>
          <w:p>
            <w:pPr>
              <w:widowControl w:val="0"/>
              <w:spacing w:line="280" w:lineRule="exact"/>
              <w:jc w:val="both"/>
              <w:rPr>
                <w:rFonts w:ascii="仿宋" w:hAnsi="仿宋" w:eastAsia="仿宋"/>
                <w:szCs w:val="21"/>
              </w:rPr>
            </w:pPr>
          </w:p>
        </w:tc>
        <w:tc>
          <w:tcPr>
            <w:tcW w:w="2795" w:type="dxa"/>
          </w:tcPr>
          <w:p>
            <w:pPr>
              <w:widowControl w:val="0"/>
              <w:spacing w:line="280" w:lineRule="exact"/>
              <w:jc w:val="both"/>
              <w:rPr>
                <w:rFonts w:ascii="仿宋" w:hAnsi="仿宋" w:eastAsia="仿宋"/>
                <w:szCs w:val="21"/>
              </w:rPr>
            </w:pPr>
          </w:p>
        </w:tc>
      </w:tr>
    </w:tbl>
    <w:p>
      <w:pPr>
        <w:spacing w:line="280" w:lineRule="exact"/>
        <w:ind w:firstLine="440" w:firstLineChars="200"/>
        <w:rPr>
          <w:rFonts w:ascii="仿宋" w:hAnsi="仿宋" w:eastAsia="仿宋"/>
          <w:szCs w:val="21"/>
        </w:rPr>
      </w:pPr>
    </w:p>
    <w:p>
      <w:pPr>
        <w:spacing w:line="280" w:lineRule="exact"/>
        <w:ind w:firstLine="440" w:firstLineChars="200"/>
        <w:rPr>
          <w:rFonts w:ascii="仿宋" w:hAnsi="仿宋" w:eastAsia="仿宋"/>
          <w:szCs w:val="21"/>
        </w:rPr>
      </w:pPr>
      <w:r>
        <w:rPr>
          <w:rFonts w:hint="eastAsia" w:ascii="仿宋" w:hAnsi="仿宋" w:eastAsia="仿宋"/>
          <w:szCs w:val="21"/>
        </w:rPr>
        <w:t xml:space="preserve">配套试剂【单人次费用】报价清单（样表，可单列且加盖公章）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4"/>
        <w:gridCol w:w="1193"/>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985" w:type="dxa"/>
          </w:tcPr>
          <w:p>
            <w:pPr>
              <w:widowControl w:val="0"/>
              <w:spacing w:line="280" w:lineRule="exact"/>
              <w:jc w:val="both"/>
              <w:rPr>
                <w:rFonts w:ascii="仿宋" w:hAnsi="仿宋" w:eastAsia="仿宋"/>
                <w:szCs w:val="21"/>
              </w:rPr>
            </w:pPr>
            <w:r>
              <w:rPr>
                <w:rFonts w:hint="eastAsia" w:ascii="仿宋" w:hAnsi="仿宋" w:eastAsia="仿宋"/>
                <w:szCs w:val="21"/>
              </w:rPr>
              <w:t>名称</w:t>
            </w:r>
          </w:p>
        </w:tc>
        <w:tc>
          <w:tcPr>
            <w:tcW w:w="2126"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784"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93"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268" w:type="dxa"/>
          </w:tcPr>
          <w:p>
            <w:pPr>
              <w:widowControl w:val="0"/>
              <w:spacing w:line="280" w:lineRule="exact"/>
              <w:jc w:val="both"/>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4" w:type="dxa"/>
          </w:tcPr>
          <w:p>
            <w:pPr>
              <w:widowControl w:val="0"/>
              <w:spacing w:line="280" w:lineRule="exact"/>
              <w:jc w:val="both"/>
              <w:rPr>
                <w:rFonts w:ascii="仿宋" w:hAnsi="仿宋" w:eastAsia="仿宋"/>
                <w:szCs w:val="21"/>
              </w:rPr>
            </w:pPr>
          </w:p>
        </w:tc>
        <w:tc>
          <w:tcPr>
            <w:tcW w:w="1193"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4" w:type="dxa"/>
          </w:tcPr>
          <w:p>
            <w:pPr>
              <w:widowControl w:val="0"/>
              <w:spacing w:line="280" w:lineRule="exact"/>
              <w:jc w:val="both"/>
              <w:rPr>
                <w:rFonts w:ascii="仿宋" w:hAnsi="仿宋" w:eastAsia="仿宋"/>
                <w:szCs w:val="21"/>
              </w:rPr>
            </w:pPr>
          </w:p>
        </w:tc>
        <w:tc>
          <w:tcPr>
            <w:tcW w:w="1193"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bl>
    <w:p>
      <w:pPr>
        <w:spacing w:line="280" w:lineRule="exact"/>
        <w:ind w:firstLine="440" w:firstLineChars="200"/>
        <w:rPr>
          <w:rFonts w:ascii="仿宋" w:hAnsi="仿宋" w:eastAsia="仿宋"/>
          <w:szCs w:val="21"/>
        </w:rPr>
      </w:pPr>
      <w:r>
        <w:rPr>
          <w:rFonts w:hint="eastAsia" w:ascii="仿宋" w:hAnsi="仿宋" w:eastAsia="仿宋"/>
          <w:szCs w:val="21"/>
        </w:rPr>
        <w:t xml:space="preserve"> </w:t>
      </w:r>
    </w:p>
    <w:p>
      <w:pPr>
        <w:spacing w:line="280" w:lineRule="exact"/>
        <w:ind w:firstLine="440" w:firstLineChars="200"/>
        <w:rPr>
          <w:rFonts w:ascii="仿宋" w:hAnsi="仿宋" w:eastAsia="仿宋"/>
          <w:szCs w:val="21"/>
        </w:rPr>
      </w:pPr>
      <w:r>
        <w:rPr>
          <w:rFonts w:hint="eastAsia" w:ascii="仿宋" w:hAnsi="仿宋" w:eastAsia="仿宋"/>
          <w:szCs w:val="21"/>
        </w:rPr>
        <w:t xml:space="preserve">须定期更换零部件报价清单（样表，可单列且加盖公章）                           </w:t>
      </w:r>
    </w:p>
    <w:tbl>
      <w:tblPr>
        <w:tblStyle w:val="4"/>
        <w:tblW w:w="10031"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675"/>
        <w:gridCol w:w="1985"/>
        <w:gridCol w:w="2126"/>
        <w:gridCol w:w="1783"/>
        <w:gridCol w:w="1194"/>
        <w:gridCol w:w="2268"/>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r>
              <w:rPr>
                <w:rFonts w:hint="eastAsia" w:ascii="仿宋" w:hAnsi="仿宋" w:eastAsia="仿宋"/>
                <w:szCs w:val="21"/>
              </w:rPr>
              <w:t>序号</w:t>
            </w:r>
          </w:p>
        </w:tc>
        <w:tc>
          <w:tcPr>
            <w:tcW w:w="1985" w:type="dxa"/>
          </w:tcPr>
          <w:p>
            <w:pPr>
              <w:widowControl w:val="0"/>
              <w:spacing w:line="280" w:lineRule="exact"/>
              <w:jc w:val="both"/>
              <w:rPr>
                <w:rFonts w:ascii="仿宋" w:hAnsi="仿宋" w:eastAsia="仿宋"/>
                <w:szCs w:val="21"/>
              </w:rPr>
            </w:pPr>
            <w:r>
              <w:rPr>
                <w:rFonts w:hint="eastAsia" w:ascii="仿宋" w:hAnsi="仿宋" w:eastAsia="仿宋"/>
                <w:szCs w:val="21"/>
              </w:rPr>
              <w:t>须定期更换零部件</w:t>
            </w:r>
          </w:p>
        </w:tc>
        <w:tc>
          <w:tcPr>
            <w:tcW w:w="2126" w:type="dxa"/>
          </w:tcPr>
          <w:p>
            <w:pPr>
              <w:widowControl w:val="0"/>
              <w:spacing w:line="280" w:lineRule="exact"/>
              <w:jc w:val="both"/>
              <w:rPr>
                <w:rFonts w:ascii="仿宋" w:hAnsi="仿宋" w:eastAsia="仿宋"/>
                <w:szCs w:val="21"/>
              </w:rPr>
            </w:pPr>
            <w:r>
              <w:rPr>
                <w:rFonts w:hint="eastAsia" w:ascii="仿宋" w:hAnsi="仿宋" w:eastAsia="仿宋"/>
                <w:szCs w:val="21"/>
              </w:rPr>
              <w:t>品牌规格型号</w:t>
            </w:r>
          </w:p>
        </w:tc>
        <w:tc>
          <w:tcPr>
            <w:tcW w:w="1783" w:type="dxa"/>
          </w:tcPr>
          <w:p>
            <w:pPr>
              <w:widowControl w:val="0"/>
              <w:spacing w:line="280" w:lineRule="exact"/>
              <w:jc w:val="both"/>
              <w:rPr>
                <w:rFonts w:ascii="仿宋" w:hAnsi="仿宋" w:eastAsia="仿宋"/>
                <w:szCs w:val="21"/>
              </w:rPr>
            </w:pPr>
            <w:r>
              <w:rPr>
                <w:rFonts w:hint="eastAsia" w:ascii="仿宋" w:hAnsi="仿宋" w:eastAsia="仿宋"/>
                <w:szCs w:val="21"/>
              </w:rPr>
              <w:t>价格（元/个）</w:t>
            </w:r>
          </w:p>
        </w:tc>
        <w:tc>
          <w:tcPr>
            <w:tcW w:w="1194" w:type="dxa"/>
          </w:tcPr>
          <w:p>
            <w:pPr>
              <w:widowControl w:val="0"/>
              <w:spacing w:line="280" w:lineRule="exact"/>
              <w:jc w:val="both"/>
              <w:rPr>
                <w:rFonts w:ascii="仿宋" w:hAnsi="仿宋" w:eastAsia="仿宋"/>
                <w:szCs w:val="21"/>
              </w:rPr>
            </w:pPr>
            <w:r>
              <w:rPr>
                <w:rFonts w:hint="eastAsia" w:ascii="仿宋" w:hAnsi="仿宋" w:eastAsia="仿宋"/>
                <w:szCs w:val="21"/>
              </w:rPr>
              <w:t>是否开放</w:t>
            </w:r>
          </w:p>
        </w:tc>
        <w:tc>
          <w:tcPr>
            <w:tcW w:w="2268" w:type="dxa"/>
          </w:tcPr>
          <w:p>
            <w:pPr>
              <w:widowControl w:val="0"/>
              <w:spacing w:line="280" w:lineRule="exact"/>
              <w:jc w:val="both"/>
              <w:rPr>
                <w:rFonts w:ascii="仿宋" w:hAnsi="仿宋" w:eastAsia="仿宋"/>
                <w:szCs w:val="21"/>
              </w:rPr>
            </w:pPr>
            <w:r>
              <w:rPr>
                <w:rFonts w:hint="eastAsia" w:ascii="仿宋" w:hAnsi="仿宋" w:eastAsia="仿宋"/>
                <w:szCs w:val="21"/>
              </w:rPr>
              <w:t>备注</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3" w:type="dxa"/>
          </w:tcPr>
          <w:p>
            <w:pPr>
              <w:widowControl w:val="0"/>
              <w:spacing w:line="280" w:lineRule="exact"/>
              <w:jc w:val="both"/>
              <w:rPr>
                <w:rFonts w:ascii="仿宋" w:hAnsi="仿宋" w:eastAsia="仿宋"/>
                <w:szCs w:val="21"/>
              </w:rPr>
            </w:pPr>
          </w:p>
        </w:tc>
        <w:tc>
          <w:tcPr>
            <w:tcW w:w="1194"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75" w:type="dxa"/>
          </w:tcPr>
          <w:p>
            <w:pPr>
              <w:widowControl w:val="0"/>
              <w:spacing w:line="280" w:lineRule="exact"/>
              <w:jc w:val="both"/>
              <w:rPr>
                <w:rFonts w:ascii="仿宋" w:hAnsi="仿宋" w:eastAsia="仿宋"/>
                <w:szCs w:val="21"/>
              </w:rPr>
            </w:pPr>
          </w:p>
        </w:tc>
        <w:tc>
          <w:tcPr>
            <w:tcW w:w="1985" w:type="dxa"/>
          </w:tcPr>
          <w:p>
            <w:pPr>
              <w:widowControl w:val="0"/>
              <w:spacing w:line="280" w:lineRule="exact"/>
              <w:jc w:val="both"/>
              <w:rPr>
                <w:rFonts w:ascii="仿宋" w:hAnsi="仿宋" w:eastAsia="仿宋"/>
                <w:szCs w:val="21"/>
              </w:rPr>
            </w:pPr>
          </w:p>
        </w:tc>
        <w:tc>
          <w:tcPr>
            <w:tcW w:w="2126" w:type="dxa"/>
          </w:tcPr>
          <w:p>
            <w:pPr>
              <w:widowControl w:val="0"/>
              <w:spacing w:line="280" w:lineRule="exact"/>
              <w:jc w:val="both"/>
              <w:rPr>
                <w:rFonts w:ascii="仿宋" w:hAnsi="仿宋" w:eastAsia="仿宋"/>
                <w:szCs w:val="21"/>
              </w:rPr>
            </w:pPr>
          </w:p>
        </w:tc>
        <w:tc>
          <w:tcPr>
            <w:tcW w:w="1783" w:type="dxa"/>
          </w:tcPr>
          <w:p>
            <w:pPr>
              <w:widowControl w:val="0"/>
              <w:spacing w:line="280" w:lineRule="exact"/>
              <w:jc w:val="both"/>
              <w:rPr>
                <w:rFonts w:ascii="仿宋" w:hAnsi="仿宋" w:eastAsia="仿宋"/>
                <w:szCs w:val="21"/>
              </w:rPr>
            </w:pPr>
          </w:p>
        </w:tc>
        <w:tc>
          <w:tcPr>
            <w:tcW w:w="1194" w:type="dxa"/>
          </w:tcPr>
          <w:p>
            <w:pPr>
              <w:widowControl w:val="0"/>
              <w:spacing w:line="280" w:lineRule="exact"/>
              <w:jc w:val="both"/>
              <w:rPr>
                <w:rFonts w:ascii="仿宋" w:hAnsi="仿宋" w:eastAsia="仿宋"/>
                <w:szCs w:val="21"/>
              </w:rPr>
            </w:pPr>
          </w:p>
        </w:tc>
        <w:tc>
          <w:tcPr>
            <w:tcW w:w="2268" w:type="dxa"/>
          </w:tcPr>
          <w:p>
            <w:pPr>
              <w:widowControl w:val="0"/>
              <w:spacing w:line="280" w:lineRule="exact"/>
              <w:jc w:val="both"/>
              <w:rPr>
                <w:rFonts w:ascii="仿宋" w:hAnsi="仿宋" w:eastAsia="仿宋"/>
                <w:szCs w:val="21"/>
              </w:rPr>
            </w:pPr>
          </w:p>
        </w:tc>
      </w:tr>
    </w:tbl>
    <w:p>
      <w:pPr>
        <w:pStyle w:val="2"/>
      </w:pPr>
      <w:bookmarkStart w:id="2" w:name="_GoBack"/>
      <w:bookmarkEnd w:id="2"/>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080F3C52"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9C92996"/>
    <w:multiLevelType w:val="singleLevel"/>
    <w:tmpl w:val="A9C92996"/>
    <w:lvl w:ilvl="0" w:tentative="0">
      <w:start w:val="1"/>
      <w:numFmt w:val="decimal"/>
      <w:lvlText w:val="%1."/>
      <w:lvlJc w:val="left"/>
      <w:pPr>
        <w:ind w:left="425" w:hanging="425"/>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15516B0"/>
    <w:rsid w:val="2B846BFF"/>
    <w:rsid w:val="53396AF8"/>
    <w:rsid w:val="558909BA"/>
    <w:rsid w:val="615516B0"/>
    <w:rsid w:val="77051445"/>
    <w:rsid w:val="78FB6CC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adjustRightInd w:val="0"/>
      <w:snapToGrid w:val="0"/>
      <w:spacing w:after="200" w:line="240" w:lineRule="auto"/>
    </w:pPr>
    <w:rPr>
      <w:rFonts w:ascii="Tahoma" w:hAnsi="Tahoma" w:eastAsia="微软雅黑" w:cstheme="minorBidi"/>
      <w:sz w:val="22"/>
      <w:szCs w:val="22"/>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customStyle="1" w:styleId="2">
    <w:name w:val="表格文字"/>
    <w:basedOn w:val="1"/>
    <w:qFormat/>
    <w:uiPriority w:val="0"/>
    <w:pPr>
      <w:spacing w:before="25" w:beforeLines="0" w:after="25" w:afterLines="0" w:line="240" w:lineRule="auto"/>
      <w:ind w:firstLine="0"/>
      <w:jc w:val="left"/>
    </w:pPr>
    <w:rPr>
      <w:bCs/>
      <w:spacing w:val="10"/>
      <w:kern w:val="0"/>
      <w:sz w:val="24"/>
    </w:rPr>
  </w:style>
  <w:style w:type="table" w:styleId="4">
    <w:name w:val="Table Grid"/>
    <w:basedOn w:val="3"/>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Hyperlink"/>
    <w:basedOn w:val="5"/>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2020-10-19T23:22:00Z</dcterms:created>
  <dc:creator>王业群</dc:creator>
  <cp:lastModifiedBy>今晚打老虎จุ๊บ</cp:lastModifiedBy>
  <dcterms:modified xsi:type="dcterms:W3CDTF">2020-10-21T06:47:30Z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