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HD睡眠测量仪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微软雅黑" w:hAnsi="微软雅黑" w:eastAsia="微软雅黑" w:cs="微软雅黑"/>
          <w:b/>
          <w:bCs w:val="0"/>
          <w:sz w:val="30"/>
          <w:szCs w:val="30"/>
          <w:lang w:val="en-US" w:eastAsia="zh-CN"/>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1"/>
        <w:gridCol w:w="4065"/>
        <w:gridCol w:w="810"/>
        <w:gridCol w:w="105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16" w:type="dxa"/>
            <w:gridSpan w:val="2"/>
          </w:tcPr>
          <w:p>
            <w:pPr>
              <w:pStyle w:val="2"/>
              <w:numPr>
                <w:ilvl w:val="0"/>
                <w:numId w:val="0"/>
              </w:numPr>
              <w:jc w:val="center"/>
              <w:rPr>
                <w:rFonts w:hint="eastAsia" w:ascii="仿宋" w:hAnsi="仿宋" w:eastAsia="仿宋"/>
                <w:b/>
                <w:szCs w:val="21"/>
                <w:lang w:val="en-US" w:eastAsia="zh-CN"/>
              </w:rPr>
            </w:pPr>
            <w:r>
              <w:rPr>
                <w:rFonts w:hint="eastAsia" w:ascii="仿宋" w:hAnsi="仿宋" w:eastAsia="仿宋"/>
                <w:b/>
                <w:szCs w:val="21"/>
                <w:lang w:val="en-US" w:eastAsia="zh-CN"/>
              </w:rPr>
              <w:t>本项目初步参数拟设置情况</w:t>
            </w:r>
          </w:p>
        </w:tc>
        <w:tc>
          <w:tcPr>
            <w:tcW w:w="810" w:type="dxa"/>
            <w:vMerge w:val="restart"/>
          </w:tcPr>
          <w:p>
            <w:pPr>
              <w:pStyle w:val="2"/>
              <w:numPr>
                <w:ilvl w:val="0"/>
                <w:numId w:val="0"/>
              </w:numPr>
              <w:jc w:val="center"/>
              <w:rPr>
                <w:rFonts w:hint="eastAsia" w:ascii="仿宋" w:hAnsi="仿宋" w:eastAsia="仿宋"/>
                <w:b/>
                <w:szCs w:val="21"/>
                <w:lang w:val="en-US" w:eastAsia="zh-CN"/>
              </w:rPr>
            </w:pPr>
            <w:r>
              <w:rPr>
                <w:rFonts w:hint="eastAsia" w:ascii="仿宋" w:hAnsi="仿宋" w:eastAsia="仿宋"/>
                <w:b/>
                <w:szCs w:val="21"/>
                <w:lang w:val="en-US" w:eastAsia="zh-CN"/>
              </w:rPr>
              <w:t>响应情况</w:t>
            </w:r>
          </w:p>
        </w:tc>
        <w:tc>
          <w:tcPr>
            <w:tcW w:w="1050" w:type="dxa"/>
            <w:vMerge w:val="restart"/>
          </w:tcPr>
          <w:p>
            <w:pPr>
              <w:pStyle w:val="2"/>
              <w:numPr>
                <w:ilvl w:val="0"/>
                <w:numId w:val="0"/>
              </w:numPr>
              <w:jc w:val="center"/>
              <w:rPr>
                <w:rFonts w:hint="eastAsia" w:ascii="仿宋" w:hAnsi="仿宋" w:eastAsia="仿宋"/>
                <w:b/>
                <w:szCs w:val="21"/>
                <w:lang w:val="en-US" w:eastAsia="zh-CN"/>
              </w:rPr>
            </w:pPr>
            <w:r>
              <w:rPr>
                <w:rFonts w:hint="eastAsia" w:ascii="仿宋" w:hAnsi="仿宋" w:eastAsia="仿宋"/>
                <w:b/>
                <w:szCs w:val="21"/>
                <w:lang w:val="en-US" w:eastAsia="zh-CN"/>
              </w:rPr>
              <w:t>建议修改指标</w:t>
            </w:r>
          </w:p>
        </w:tc>
        <w:tc>
          <w:tcPr>
            <w:tcW w:w="1846" w:type="dxa"/>
            <w:vMerge w:val="restart"/>
          </w:tcPr>
          <w:p>
            <w:pPr>
              <w:pStyle w:val="2"/>
              <w:numPr>
                <w:numId w:val="0"/>
              </w:numPr>
              <w:jc w:val="center"/>
              <w:rPr>
                <w:rFonts w:hint="eastAsia" w:ascii="微软雅黑" w:hAnsi="微软雅黑" w:eastAsia="微软雅黑" w:cs="微软雅黑"/>
                <w:b/>
                <w:bCs w:val="0"/>
                <w:sz w:val="30"/>
                <w:szCs w:val="30"/>
                <w:lang w:val="en-US" w:eastAsia="zh-CN"/>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jc w:val="center"/>
              <w:rPr>
                <w:rFonts w:hint="eastAsia" w:ascii="仿宋" w:hAnsi="仿宋" w:eastAsia="仿宋"/>
                <w:b/>
                <w:szCs w:val="21"/>
                <w:lang w:val="en-US" w:eastAsia="zh-CN"/>
              </w:rPr>
            </w:pPr>
            <w:r>
              <w:rPr>
                <w:rFonts w:hint="eastAsia" w:ascii="仿宋" w:hAnsi="仿宋" w:eastAsia="仿宋"/>
                <w:b/>
                <w:szCs w:val="21"/>
                <w:lang w:val="en-US" w:eastAsia="zh-CN"/>
              </w:rPr>
              <w:t>序号</w:t>
            </w:r>
          </w:p>
        </w:tc>
        <w:tc>
          <w:tcPr>
            <w:tcW w:w="4065" w:type="dxa"/>
          </w:tcPr>
          <w:p>
            <w:pPr>
              <w:pStyle w:val="2"/>
              <w:numPr>
                <w:ilvl w:val="0"/>
                <w:numId w:val="0"/>
              </w:numPr>
              <w:jc w:val="center"/>
              <w:rPr>
                <w:rFonts w:hint="eastAsia" w:ascii="仿宋" w:hAnsi="仿宋" w:eastAsia="仿宋"/>
                <w:b/>
                <w:szCs w:val="21"/>
                <w:lang w:val="en-US" w:eastAsia="zh-CN"/>
              </w:rPr>
            </w:pPr>
            <w:r>
              <w:rPr>
                <w:rFonts w:hint="eastAsia" w:ascii="仿宋" w:hAnsi="仿宋" w:eastAsia="仿宋"/>
                <w:b/>
                <w:szCs w:val="21"/>
                <w:lang w:val="en-US" w:eastAsia="zh-CN"/>
              </w:rPr>
              <w:t>参数要求</w:t>
            </w:r>
          </w:p>
        </w:tc>
        <w:tc>
          <w:tcPr>
            <w:tcW w:w="810" w:type="dxa"/>
            <w:vMerge w:val="continue"/>
            <w:tcBorders/>
          </w:tcPr>
          <w:p>
            <w:pPr>
              <w:pStyle w:val="2"/>
              <w:numPr>
                <w:ilvl w:val="0"/>
                <w:numId w:val="0"/>
              </w:numPr>
              <w:jc w:val="center"/>
              <w:rPr>
                <w:rFonts w:hint="eastAsia" w:ascii="仿宋" w:hAnsi="仿宋" w:eastAsia="仿宋"/>
                <w:b/>
                <w:szCs w:val="21"/>
                <w:lang w:val="en-US" w:eastAsia="zh-CN"/>
              </w:rPr>
            </w:pPr>
          </w:p>
        </w:tc>
        <w:tc>
          <w:tcPr>
            <w:tcW w:w="1050" w:type="dxa"/>
            <w:vMerge w:val="continue"/>
            <w:tcBorders/>
          </w:tcPr>
          <w:p>
            <w:pPr>
              <w:pStyle w:val="2"/>
              <w:numPr>
                <w:ilvl w:val="0"/>
                <w:numId w:val="0"/>
              </w:numPr>
              <w:jc w:val="center"/>
              <w:rPr>
                <w:rFonts w:hint="eastAsia" w:ascii="仿宋" w:hAnsi="仿宋" w:eastAsia="仿宋"/>
                <w:b/>
                <w:szCs w:val="21"/>
                <w:lang w:val="en-US" w:eastAsia="zh-CN"/>
              </w:rPr>
            </w:pPr>
          </w:p>
        </w:tc>
        <w:tc>
          <w:tcPr>
            <w:tcW w:w="1846" w:type="dxa"/>
            <w:vMerge w:val="continue"/>
            <w:tcBorders/>
          </w:tcPr>
          <w:p>
            <w:pPr>
              <w:pStyle w:val="2"/>
              <w:numPr>
                <w:numId w:val="0"/>
              </w:numPr>
              <w:rPr>
                <w:rFonts w:hint="eastAsia" w:ascii="微软雅黑" w:hAnsi="微软雅黑" w:eastAsia="微软雅黑" w:cs="微软雅黑"/>
                <w:b/>
                <w:bCs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default" w:ascii="微软雅黑" w:hAnsi="微软雅黑" w:eastAsia="微软雅黑" w:cs="微软雅黑"/>
                <w:b/>
                <w:bCs w:val="0"/>
                <w:sz w:val="30"/>
                <w:szCs w:val="30"/>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监测系统：多导睡眠监测</w:t>
            </w:r>
          </w:p>
        </w:tc>
        <w:tc>
          <w:tcPr>
            <w:tcW w:w="810" w:type="dxa"/>
          </w:tcPr>
          <w:p>
            <w:pPr>
              <w:pStyle w:val="2"/>
              <w:numPr>
                <w:numId w:val="0"/>
              </w:numPr>
              <w:rPr>
                <w:rFonts w:hint="eastAsia" w:ascii="微软雅黑" w:hAnsi="微软雅黑" w:eastAsia="微软雅黑" w:cs="微软雅黑"/>
                <w:b/>
                <w:bCs w:val="0"/>
                <w:sz w:val="30"/>
                <w:szCs w:val="30"/>
                <w:lang w:val="en-US" w:eastAsia="zh-CN"/>
              </w:rPr>
            </w:pPr>
          </w:p>
        </w:tc>
        <w:tc>
          <w:tcPr>
            <w:tcW w:w="1050" w:type="dxa"/>
          </w:tcPr>
          <w:p>
            <w:pPr>
              <w:pStyle w:val="2"/>
              <w:numPr>
                <w:numId w:val="0"/>
              </w:numPr>
              <w:rPr>
                <w:rFonts w:hint="eastAsia" w:ascii="微软雅黑" w:hAnsi="微软雅黑" w:eastAsia="微软雅黑" w:cs="微软雅黑"/>
                <w:b/>
                <w:bCs w:val="0"/>
                <w:sz w:val="30"/>
                <w:szCs w:val="30"/>
                <w:lang w:val="en-US" w:eastAsia="zh-CN"/>
              </w:rPr>
            </w:pPr>
          </w:p>
        </w:tc>
        <w:tc>
          <w:tcPr>
            <w:tcW w:w="1846" w:type="dxa"/>
          </w:tcPr>
          <w:p>
            <w:pPr>
              <w:pStyle w:val="2"/>
              <w:numPr>
                <w:numId w:val="0"/>
              </w:numPr>
              <w:rPr>
                <w:rFonts w:hint="eastAsia" w:ascii="微软雅黑" w:hAnsi="微软雅黑" w:eastAsia="微软雅黑" w:cs="微软雅黑"/>
                <w:b/>
                <w:bCs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设备名称：HD睡眠测量仪</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val="0"/>
                <w:sz w:val="24"/>
                <w:szCs w:val="24"/>
                <w:lang w:val="en-US" w:eastAsia="zh-CN"/>
              </w:rPr>
              <w:t>用途：</w:t>
            </w:r>
            <w:r>
              <w:rPr>
                <w:rFonts w:hint="eastAsia" w:ascii="微软雅黑" w:hAnsi="微软雅黑" w:eastAsia="微软雅黑" w:cs="微软雅黑"/>
                <w:sz w:val="24"/>
                <w:szCs w:val="24"/>
                <w:lang w:val="en-US" w:eastAsia="zh-CN"/>
              </w:rPr>
              <w:t>可用于多导睡眠及脑电图的采集、实时监测和分析，支持睡眠障碍与神经系统变性疾病的研究并支持相关学术科研工作。</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406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放大器系统主要技术指标：</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系统通道数：≥76导联；</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可升级神经影像软件功能，包括采集、分析、溯源模块，各模块可单独或结合使用，并可将多模态神经影像数据结合分析，可进行更精确的偶级子定位和电流密度3D动态分析，Stim2刺激呈现软件可提供声音、图像、影像或其他综合刺激，可编程刺激模式，并可将刺激和反应与电脑信号同步传输到采集和分析系统。</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HD放大器 ：整机一体化设计，放大功能、接线功能和通信功能全部集成化在同一个放大器里。</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采样率：≥16000HZ; 采样存储率：≥4000HZ;</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采样精度：≥24bit; </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频宽：DC-1150HZ；</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噪声水平：＜2μVpp；</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共模抑制比：&gt;108db;</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血氧分辨率精确到0.001%；</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采用DC coupled直流耦合放大器，抗干扰能力强，噪音小；</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抗干扰供电技术：一条数据线（高速传输数据和电源供应）连接放大器，可排除交流电及其他磁体干扰，保证数据完整的同时，也保证操作的安全，特别是儿童和精神障碍患者；</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内置自动识别灯光传感器。</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放大器内置阻抗测试按钮，可实时监控电极阻抗情况。</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具备扩展功能：具备16通道外接扩展盒功能，包括呼吸压力滴定、经皮CO2、呼末CO2、食道测压、PH、血压、温度、男性性功能、模拟驾驶系统等。</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406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（PSG）睡眠监测软件功能</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具备AASM2.5版睡眠分析操作系统（可与R&amp;K睡眠规则互相转换）；</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具备婴幼儿、儿童、成人三种独立分析系统；全中文操作界面，全中文报告生成系统。</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气流环监测技术：具备FVL呼吸流速-容量环技术和波形气流技术；</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可在不同体位下对不同睡眠期进行低通气自动分类，并具备统计各低通气类型的次数和指数。</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呼吸事件分析功能：呼吸努力相关性微觉醒（RERA）、陈-施氏呼吸、矛盾呼吸等</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同时具备AHI和RDI（包括AHI、RERA和气流受限等不确定呼吸事件）指标，可自动计算并生成报告。</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脉搏传输时间（PTT）功能：反映睡眠呼吸事件发生时的血压变化趋势，并能辅助呼吸事件判断。</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快眼动密度分析：具备REM Density快速眼动密度分析功能；</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可自动对微觉醒进行分类，并具备统计微觉醒在各睡眠期发生的次数和指数</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放分析功能：可用色标自动标记纺锤波、K综合波、Delta波，包括REM期的反相和正相眼球运动、各种呼吸事件、氧减事件等，可通过快捷键注释（包括事件类型，起止时间，峰值，谷值等），并具备自动统计功能。</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具备快速傅里叶频谱分析功能</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专项报告功能：微觉醒、多发小睡、刺激觉醒、脑电图机及呼吸疾病等报告</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REM期行为障碍（RBD）分析模块：可以分析磨牙、持续肌肉活动、短暂肌肉活动、节律性运动障碍、持续脚震颤、过度肌阵挛和快速眼球运动睡眠事件并出具报告，用来研究患者异态睡眠（包括梦游、睡眠中突然坐起等）和OSAS关系。</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腿动（LM）和周期性腿动（PLM）的分析：具有睡眠期和清醒期独立分析功能，包括LM/PLM整晚总次数和指数及各睡眠期的次数和指数；所有数据自动计算并可生成报告。</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趋势图功能：包含定标输入、神经生理事件、呼吸事件、心电事件、扩展通道事件等五大类，共61个趋势图，覆盖国际实验室几乎所有需要涉及到的睡眠事件和数据。</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收录回放功能：具备高清软件收录回放功能，可多窗口工作，并对多个病例进行回放和分析；</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Word快捷键功能：采用最新windows10（兼容windows7）系统，在Word文档中可进行任意编辑；可产生分夜报告，分别报告诊断和治疗情况；报告可输出到Excel，便于数据统计。</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406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（EEG）脑电监测软件功能</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具备睡眠脑电图、常规脑电图、视频脑电图分析功能，具备二维脑地形图、频谱分析、对于棘波、尖波、棘慢波、尖慢波、慢波等异常脑电图分析功能，并可自动监测、监控及回放；</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快捷montage序列设置：可创建多个组合导联序列，将设备配置和电极安放设置，并具备独有的图片拖动方式使导联排序快捷简单；</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实时动态的脑电地形图分析功能：可提供四种不同的模式给专业人员提供频率领域的动态和静态读取，便于医生分析阅图；</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双采样率功能：支持双采样率记录，可同时存储高采样率和低采样率脑电图，高采样率进行精准分析，低采样率进行快速浏览和查找；</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同步双视频功能：具备双视频浮动窗口显示，每条视频两个视图功能并采用高清网络日/夜远红外数字摄像头，H.265视频信号与电脑信号完全同步；</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HFO高频振荡分析功能：在大脑皮层采集80-500HZ的高频脑电活动记录范围，捕捉高频信号发生的位置、时间，为癫痫患者提供最真实、准确的依据；</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具备癫痫时间分析模块功能，并具备术前、术中、术后实时监测分析功能。</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滤波功能：交流滤波、制定频率滤波、抗混淆滤波；</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滤波功能：交流50/60hz；指定频率波段的滤波；抗混淆滤波；</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灵敏度：1,2, 3, 5, 7, 10, 15, 20, 30, 50, 70, 100, 200, 500，1000mV/mm</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高频滤波：15, 30, 75, 100Hz</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低频滤波：0.1，0.3，0.5，1，1.6，2，3，10，15 Hz</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走纸速度：0.5，1，2.5，5，10, 15, 20，30, 60 mm/秒</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1"/>
              </w:numPr>
              <w:ind w:left="425" w:leftChars="0" w:hanging="425" w:firstLineChars="0"/>
              <w:rPr>
                <w:rFonts w:hint="eastAsia" w:ascii="微软雅黑" w:hAnsi="微软雅黑" w:eastAsia="微软雅黑" w:cs="微软雅黑"/>
                <w:sz w:val="24"/>
                <w:szCs w:val="24"/>
                <w:lang w:val="en-US" w:eastAsia="zh-CN"/>
              </w:rPr>
            </w:pP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定制专用分析摸板功能：具备对各种不同的分析数据进行自动和手动分析或自定义设置，建立分析模板用于科研比对及教学；</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52</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记录软件具有在线分析和报警功能；</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53</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5数据格式开放：可转换EDF、ASCII格式，支持第三方数据和软件进行分析，支持输入EDF文件，数据编辑，视频编辑，CD刻录，病人资料输出等，支持远程会诊；</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b/>
                <w:bCs w:val="0"/>
                <w:sz w:val="24"/>
                <w:szCs w:val="24"/>
                <w:lang w:val="en-US" w:eastAsia="zh-CN"/>
              </w:rPr>
            </w:pPr>
            <w:r>
              <w:rPr>
                <w:rFonts w:hint="eastAsia" w:ascii="微软雅黑" w:hAnsi="微软雅黑" w:cs="微软雅黑"/>
                <w:b/>
                <w:bCs w:val="0"/>
                <w:sz w:val="24"/>
                <w:szCs w:val="24"/>
                <w:lang w:val="en-US" w:eastAsia="zh-CN"/>
              </w:rPr>
              <w:t>54</w:t>
            </w:r>
          </w:p>
        </w:tc>
        <w:tc>
          <w:tcPr>
            <w:tcW w:w="406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配置要求</w:t>
            </w:r>
          </w:p>
        </w:tc>
        <w:tc>
          <w:tcPr>
            <w:tcW w:w="8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05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55</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≥76导睡眠测量仪1套；</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56</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软件系统：软件需具备独立AASM2.5版睡眠分析软件1套；并同时具备32导脑电监测分析；</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57</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同步视频采集系统：提供原厂同步视频采集系统1套；高清摄像头1个；</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58</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16通道多功能扩展盒1个；</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59</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传感器及附件：盘状电极30条、钮扣电极20条、各种传感器1套（热敏气流1个、鼾声传感器1个、左右腿动各1个、体位1个、全相位胸/腹运动各1个、压力鼻导管1个及血氧探头1个）；</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60</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计算机1台：中央处理器i5处理器；内存≥8G；硬盘：≥1T； 显示器≥21”； 彩色喷墨打印机1台；</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cs="微软雅黑"/>
                <w:b/>
                <w:bCs w:val="0"/>
                <w:sz w:val="24"/>
                <w:szCs w:val="24"/>
                <w:lang w:val="en-US" w:eastAsia="zh-CN"/>
              </w:rPr>
            </w:pPr>
            <w:r>
              <w:rPr>
                <w:rFonts w:hint="eastAsia" w:ascii="微软雅黑" w:hAnsi="微软雅黑" w:cs="微软雅黑"/>
                <w:b/>
                <w:bCs w:val="0"/>
                <w:sz w:val="24"/>
                <w:szCs w:val="24"/>
                <w:lang w:val="en-US" w:eastAsia="zh-CN"/>
              </w:rPr>
              <w:t>61</w:t>
            </w:r>
          </w:p>
        </w:tc>
        <w:tc>
          <w:tcPr>
            <w:tcW w:w="406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售后服务保障</w:t>
            </w:r>
          </w:p>
        </w:tc>
        <w:tc>
          <w:tcPr>
            <w:tcW w:w="810" w:type="dxa"/>
          </w:tcPr>
          <w:p>
            <w:pPr>
              <w:pStyle w:val="2"/>
              <w:numPr>
                <w:ilvl w:val="0"/>
                <w:numId w:val="0"/>
              </w:numPr>
              <w:rPr>
                <w:rFonts w:hint="eastAsia" w:ascii="微软雅黑" w:hAnsi="微软雅黑" w:cs="微软雅黑"/>
                <w:b/>
                <w:bCs w:val="0"/>
                <w:sz w:val="24"/>
                <w:szCs w:val="24"/>
                <w:lang w:val="en-US" w:eastAsia="zh-CN"/>
              </w:rPr>
            </w:pPr>
          </w:p>
        </w:tc>
        <w:tc>
          <w:tcPr>
            <w:tcW w:w="1050" w:type="dxa"/>
          </w:tcPr>
          <w:p>
            <w:pPr>
              <w:pStyle w:val="2"/>
              <w:numPr>
                <w:ilvl w:val="0"/>
                <w:numId w:val="0"/>
              </w:numPr>
              <w:rPr>
                <w:rFonts w:hint="eastAsia" w:ascii="微软雅黑" w:hAnsi="微软雅黑" w:cs="微软雅黑"/>
                <w:b/>
                <w:bCs w:val="0"/>
                <w:sz w:val="24"/>
                <w:szCs w:val="24"/>
                <w:lang w:val="en-US" w:eastAsia="zh-CN"/>
              </w:rPr>
            </w:pPr>
          </w:p>
        </w:tc>
        <w:tc>
          <w:tcPr>
            <w:tcW w:w="1846" w:type="dxa"/>
          </w:tcPr>
          <w:p>
            <w:pPr>
              <w:pStyle w:val="2"/>
              <w:numPr>
                <w:ilvl w:val="0"/>
                <w:numId w:val="0"/>
              </w:numPr>
              <w:rPr>
                <w:rFonts w:hint="eastAsia" w:ascii="微软雅黑" w:hAnsi="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62</w:t>
            </w:r>
          </w:p>
        </w:tc>
        <w:tc>
          <w:tcPr>
            <w:tcW w:w="4065" w:type="dxa"/>
          </w:tcPr>
          <w:p>
            <w:pPr>
              <w:pStyle w:val="2"/>
              <w:numPr>
                <w:ilvl w:val="0"/>
                <w:numId w:val="0"/>
              </w:numPr>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sz w:val="24"/>
                <w:szCs w:val="24"/>
                <w:lang w:val="en-US" w:eastAsia="zh-CN"/>
              </w:rPr>
              <w:t>系统维护：</w:t>
            </w:r>
            <w:r>
              <w:rPr>
                <w:rFonts w:hint="eastAsia" w:ascii="微软雅黑" w:hAnsi="微软雅黑" w:cs="微软雅黑"/>
                <w:sz w:val="24"/>
                <w:szCs w:val="24"/>
                <w:lang w:val="en-US" w:eastAsia="zh-CN"/>
              </w:rPr>
              <w:t>质保期3年以上，</w:t>
            </w:r>
            <w:r>
              <w:rPr>
                <w:rFonts w:hint="eastAsia" w:ascii="微软雅黑" w:hAnsi="微软雅黑" w:eastAsia="微软雅黑" w:cs="微软雅黑"/>
                <w:sz w:val="24"/>
                <w:szCs w:val="24"/>
                <w:lang w:val="en-US" w:eastAsia="zh-CN"/>
              </w:rPr>
              <w:t>每年不低于三次上门提供设备维护，终身提供技术支持，</w:t>
            </w:r>
            <w:r>
              <w:rPr>
                <w:rFonts w:hint="eastAsia" w:ascii="微软雅黑" w:hAnsi="微软雅黑" w:eastAsia="微软雅黑" w:cs="微软雅黑"/>
                <w:b w:val="0"/>
                <w:bCs/>
                <w:sz w:val="24"/>
                <w:szCs w:val="24"/>
                <w:lang w:val="en-US" w:eastAsia="zh-CN"/>
              </w:rPr>
              <w:t>提供终身睡眠监测软件及脑电监测软件升级（含所有零部件，包括须定期更换零部件）</w:t>
            </w:r>
            <w:r>
              <w:rPr>
                <w:rFonts w:hint="eastAsia" w:ascii="微软雅黑" w:hAnsi="微软雅黑" w:eastAsia="微软雅黑" w:cs="微软雅黑"/>
                <w:b w:val="0"/>
                <w:bCs/>
                <w:sz w:val="24"/>
                <w:szCs w:val="24"/>
                <w:lang w:val="en-US" w:eastAsia="zh-CN"/>
              </w:rPr>
              <w:t>;</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63</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售后服务机构：国内具备售后服务机构，售后工程师具备由原厂颁发的技术服务证书。</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eastAsia="微软雅黑" w:cs="微软雅黑"/>
                <w:sz w:val="24"/>
                <w:szCs w:val="24"/>
                <w:lang w:val="en-US" w:eastAsia="zh-CN"/>
              </w:rPr>
            </w:pPr>
            <w:r>
              <w:rPr>
                <w:rFonts w:hint="eastAsia" w:ascii="微软雅黑" w:hAnsi="微软雅黑" w:cs="微软雅黑"/>
                <w:sz w:val="24"/>
                <w:szCs w:val="24"/>
                <w:lang w:val="en-US" w:eastAsia="zh-CN"/>
              </w:rPr>
              <w:t>64</w:t>
            </w:r>
          </w:p>
        </w:tc>
        <w:tc>
          <w:tcPr>
            <w:tcW w:w="4065" w:type="dxa"/>
          </w:tcPr>
          <w:p>
            <w:pPr>
              <w:pStyle w:val="2"/>
              <w:numPr>
                <w:ilvl w:val="0"/>
                <w:numId w:val="0"/>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产品品牌、制造商、制造商产地保持一致，原厂保障售后服务优先考虑。</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51" w:type="dxa"/>
          </w:tcPr>
          <w:p>
            <w:pPr>
              <w:pStyle w:val="2"/>
              <w:numPr>
                <w:ilvl w:val="0"/>
                <w:numId w:val="0"/>
              </w:numPr>
              <w:rPr>
                <w:rFonts w:hint="default" w:ascii="微软雅黑" w:hAnsi="微软雅黑" w:cs="微软雅黑"/>
                <w:sz w:val="24"/>
                <w:szCs w:val="24"/>
                <w:lang w:val="en-US" w:eastAsia="zh-CN"/>
              </w:rPr>
            </w:pPr>
            <w:r>
              <w:rPr>
                <w:rFonts w:hint="eastAsia" w:ascii="微软雅黑" w:hAnsi="微软雅黑" w:cs="微软雅黑"/>
                <w:sz w:val="24"/>
                <w:szCs w:val="24"/>
                <w:lang w:val="en-US" w:eastAsia="zh-CN"/>
              </w:rPr>
              <w:t>65</w:t>
            </w:r>
          </w:p>
        </w:tc>
        <w:tc>
          <w:tcPr>
            <w:tcW w:w="4065" w:type="dxa"/>
            <w:vAlign w:val="center"/>
          </w:tcPr>
          <w:p>
            <w:pPr>
              <w:adjustRightInd w:val="0"/>
              <w:snapToGrid w:val="0"/>
              <w:rPr>
                <w:rFonts w:hint="eastAsia" w:ascii="宋体" w:hAnsi="宋体" w:eastAsia="宋体" w:cs="宋体"/>
                <w:sz w:val="24"/>
                <w:szCs w:val="24"/>
                <w:lang w:val="en-US" w:eastAsia="zh-CN" w:bidi="ar-SA"/>
              </w:rPr>
            </w:pPr>
            <w:r>
              <w:rPr>
                <w:rFonts w:ascii="宋体" w:hAnsi="宋体" w:eastAsia="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eastAsia="宋体"/>
                <w:sz w:val="24"/>
                <w:szCs w:val="24"/>
              </w:rPr>
              <w:t>。</w:t>
            </w:r>
          </w:p>
        </w:tc>
        <w:tc>
          <w:tcPr>
            <w:tcW w:w="810" w:type="dxa"/>
          </w:tcPr>
          <w:p>
            <w:pPr>
              <w:pStyle w:val="2"/>
              <w:numPr>
                <w:ilvl w:val="0"/>
                <w:numId w:val="0"/>
              </w:numPr>
              <w:rPr>
                <w:rFonts w:hint="eastAsia" w:ascii="微软雅黑" w:hAnsi="微软雅黑" w:eastAsia="微软雅黑" w:cs="微软雅黑"/>
                <w:sz w:val="24"/>
                <w:szCs w:val="24"/>
                <w:lang w:val="en-US" w:eastAsia="zh-CN"/>
              </w:rPr>
            </w:pPr>
          </w:p>
        </w:tc>
        <w:tc>
          <w:tcPr>
            <w:tcW w:w="1050" w:type="dxa"/>
          </w:tcPr>
          <w:p>
            <w:pPr>
              <w:pStyle w:val="2"/>
              <w:numPr>
                <w:ilvl w:val="0"/>
                <w:numId w:val="0"/>
              </w:numPr>
              <w:rPr>
                <w:rFonts w:hint="eastAsia" w:ascii="微软雅黑" w:hAnsi="微软雅黑" w:eastAsia="微软雅黑" w:cs="微软雅黑"/>
                <w:sz w:val="24"/>
                <w:szCs w:val="24"/>
                <w:lang w:val="en-US" w:eastAsia="zh-CN"/>
              </w:rPr>
            </w:pPr>
          </w:p>
        </w:tc>
        <w:tc>
          <w:tcPr>
            <w:tcW w:w="1846" w:type="dxa"/>
          </w:tcPr>
          <w:p>
            <w:pPr>
              <w:pStyle w:val="2"/>
              <w:numPr>
                <w:ilvl w:val="0"/>
                <w:numId w:val="0"/>
              </w:numPr>
              <w:rPr>
                <w:rFonts w:hint="eastAsia" w:ascii="微软雅黑" w:hAnsi="微软雅黑" w:eastAsia="微软雅黑" w:cs="微软雅黑"/>
                <w:sz w:val="24"/>
                <w:szCs w:val="24"/>
                <w:lang w:val="en-US" w:eastAsia="zh-CN"/>
              </w:rPr>
            </w:pPr>
          </w:p>
        </w:tc>
      </w:tr>
    </w:tbl>
    <w:p>
      <w:pPr>
        <w:spacing w:line="280" w:lineRule="exact"/>
        <w:ind w:firstLine="440" w:firstLineChars="200"/>
        <w:rPr>
          <w:rFonts w:ascii="仿宋" w:hAnsi="仿宋" w:eastAsia="仿宋"/>
          <w:szCs w:val="21"/>
        </w:rPr>
      </w:pPr>
      <w:r>
        <w:rPr>
          <w:rFonts w:hint="eastAsia" w:ascii="仿宋" w:hAnsi="仿宋" w:eastAsia="仿宋"/>
          <w:szCs w:val="21"/>
        </w:rPr>
        <w:t>附：</w:t>
      </w:r>
    </w:p>
    <w:p>
      <w:pPr>
        <w:spacing w:line="280" w:lineRule="exact"/>
        <w:ind w:firstLine="44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r>
        <w:rPr>
          <w:rFonts w:hint="eastAsia" w:ascii="仿宋" w:hAnsi="仿宋" w:eastAsia="仿宋"/>
          <w:szCs w:val="21"/>
        </w:rPr>
        <w:t xml:space="preserve"> </w:t>
      </w:r>
    </w:p>
    <w:p>
      <w:pPr>
        <w:spacing w:line="280" w:lineRule="exact"/>
        <w:ind w:firstLine="44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FB252"/>
    <w:multiLevelType w:val="singleLevel"/>
    <w:tmpl w:val="8F3FB25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16B0"/>
    <w:rsid w:val="0B2B50DA"/>
    <w:rsid w:val="24606AFE"/>
    <w:rsid w:val="2B846BFF"/>
    <w:rsid w:val="4499232B"/>
    <w:rsid w:val="615516B0"/>
    <w:rsid w:val="78FB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2020-10-19T23:22:00Z</dcterms:created>
  <dc:creator>王业群</dc:creator>
  <cp:lastModifiedBy>今晚打老虎จุ๊บ</cp:lastModifiedBy>
  <dcterms:modified xsi:type="dcterms:W3CDTF">2020-10-20T06:54:23Z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