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脑功能信息管理平台软件系统</w:t>
      </w:r>
      <w:bookmarkStart w:id="0" w:name="_GoBack"/>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hint="eastAsia" w:ascii="微软雅黑" w:hAnsi="微软雅黑" w:eastAsia="微软雅黑" w:cs="微软雅黑"/>
          <w:b/>
          <w:bCs w:val="0"/>
          <w:sz w:val="30"/>
          <w:szCs w:val="30"/>
          <w:lang w:val="en-US" w:eastAsia="zh-CN"/>
        </w:rPr>
      </w:pPr>
      <w:r>
        <w:rPr>
          <w:rFonts w:hint="eastAsia" w:ascii="仿宋" w:hAnsi="仿宋" w:eastAsia="仿宋"/>
          <w:szCs w:val="21"/>
        </w:rPr>
        <w:t xml:space="preserve">   </w:t>
      </w:r>
      <w:r>
        <w:rPr>
          <w:rFonts w:hint="eastAsia" w:ascii="仿宋" w:hAnsi="仿宋" w:eastAsia="仿宋"/>
          <w:b/>
          <w:szCs w:val="21"/>
        </w:rPr>
        <w:t>附件：配套耗材、试剂【单人次费用】及须定期更换零部件报价清单（样表【若无则标注“无”且不可删除】、可单列）</w:t>
      </w:r>
    </w:p>
    <w:p>
      <w:pPr>
        <w:pStyle w:val="2"/>
        <w:rPr>
          <w:rFonts w:hint="eastAsia" w:ascii="仿宋" w:hAnsi="仿宋" w:eastAsia="仿宋"/>
          <w:b/>
          <w:szCs w:val="21"/>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96"/>
        <w:gridCol w:w="3585"/>
        <w:gridCol w:w="885"/>
        <w:gridCol w:w="141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81" w:type="dxa"/>
            <w:gridSpan w:val="2"/>
          </w:tcPr>
          <w:p>
            <w:pPr>
              <w:pStyle w:val="2"/>
              <w:numPr>
                <w:ilvl w:val="0"/>
                <w:numId w:val="0"/>
              </w:numPr>
              <w:rPr>
                <w:rFonts w:hint="eastAsia" w:ascii="仿宋" w:hAnsi="仿宋" w:eastAsia="仿宋"/>
                <w:b/>
                <w:szCs w:val="21"/>
                <w:lang w:val="en-US" w:eastAsia="zh-CN"/>
              </w:rPr>
            </w:pPr>
            <w:r>
              <w:rPr>
                <w:rFonts w:hint="eastAsia" w:ascii="仿宋" w:hAnsi="仿宋" w:eastAsia="仿宋"/>
                <w:b/>
                <w:szCs w:val="21"/>
                <w:lang w:val="en-US" w:eastAsia="zh-CN"/>
              </w:rPr>
              <w:t>本项目初步参数拟设置情况</w:t>
            </w:r>
          </w:p>
        </w:tc>
        <w:tc>
          <w:tcPr>
            <w:tcW w:w="885" w:type="dxa"/>
            <w:vMerge w:val="restart"/>
          </w:tcPr>
          <w:p>
            <w:pPr>
              <w:pStyle w:val="2"/>
              <w:numPr>
                <w:ilvl w:val="0"/>
                <w:numId w:val="0"/>
              </w:numPr>
              <w:rPr>
                <w:rFonts w:hint="eastAsia" w:ascii="仿宋" w:hAnsi="仿宋" w:eastAsia="仿宋"/>
                <w:b/>
                <w:szCs w:val="21"/>
                <w:lang w:val="en-US" w:eastAsia="zh-CN"/>
              </w:rPr>
            </w:pPr>
            <w:r>
              <w:rPr>
                <w:rFonts w:hint="eastAsia" w:ascii="仿宋" w:hAnsi="仿宋" w:eastAsia="仿宋"/>
                <w:b/>
                <w:szCs w:val="21"/>
                <w:lang w:val="en-US" w:eastAsia="zh-CN"/>
              </w:rPr>
              <w:t>响应情况</w:t>
            </w:r>
          </w:p>
        </w:tc>
        <w:tc>
          <w:tcPr>
            <w:tcW w:w="1410" w:type="dxa"/>
            <w:vMerge w:val="restart"/>
          </w:tcPr>
          <w:p>
            <w:pPr>
              <w:pStyle w:val="2"/>
              <w:numPr>
                <w:ilvl w:val="0"/>
                <w:numId w:val="0"/>
              </w:numPr>
              <w:rPr>
                <w:rFonts w:hint="eastAsia" w:ascii="仿宋" w:hAnsi="仿宋" w:eastAsia="仿宋"/>
                <w:b/>
                <w:szCs w:val="21"/>
                <w:lang w:val="en-US" w:eastAsia="zh-CN"/>
              </w:rPr>
            </w:pPr>
            <w:r>
              <w:rPr>
                <w:rFonts w:hint="eastAsia" w:ascii="仿宋" w:hAnsi="仿宋" w:eastAsia="仿宋"/>
                <w:b/>
                <w:szCs w:val="21"/>
                <w:lang w:val="en-US" w:eastAsia="zh-CN"/>
              </w:rPr>
              <w:t>建议修改指标</w:t>
            </w:r>
          </w:p>
        </w:tc>
        <w:tc>
          <w:tcPr>
            <w:tcW w:w="1846" w:type="dxa"/>
            <w:vMerge w:val="restart"/>
          </w:tcPr>
          <w:p>
            <w:pPr>
              <w:pStyle w:val="2"/>
              <w:numPr>
                <w:ilvl w:val="0"/>
                <w:numId w:val="0"/>
              </w:numPr>
              <w:rPr>
                <w:rFonts w:hint="eastAsia" w:ascii="微软雅黑" w:hAnsi="微软雅黑" w:eastAsia="微软雅黑" w:cs="微软雅黑"/>
                <w:b/>
                <w:bCs w:val="0"/>
                <w:sz w:val="24"/>
                <w:szCs w:val="24"/>
                <w:lang w:val="en-US" w:eastAsia="zh-CN"/>
              </w:rPr>
            </w:pPr>
            <w:r>
              <w:rPr>
                <w:rFonts w:hint="eastAsia" w:ascii="仿宋" w:hAnsi="仿宋" w:eastAsia="仿宋"/>
                <w:b/>
                <w:szCs w:val="21"/>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pStyle w:val="2"/>
              <w:numPr>
                <w:ilvl w:val="0"/>
                <w:numId w:val="0"/>
              </w:numPr>
              <w:rPr>
                <w:rFonts w:hint="eastAsia" w:ascii="仿宋" w:hAnsi="仿宋" w:eastAsia="仿宋"/>
                <w:b/>
                <w:szCs w:val="21"/>
                <w:lang w:val="en-US" w:eastAsia="zh-CN"/>
              </w:rPr>
            </w:pPr>
            <w:r>
              <w:rPr>
                <w:rFonts w:hint="eastAsia" w:ascii="仿宋" w:hAnsi="仿宋" w:eastAsia="仿宋"/>
                <w:b/>
                <w:szCs w:val="21"/>
                <w:lang w:val="en-US" w:eastAsia="zh-CN"/>
              </w:rPr>
              <w:t>序号</w:t>
            </w:r>
          </w:p>
        </w:tc>
        <w:tc>
          <w:tcPr>
            <w:tcW w:w="3585" w:type="dxa"/>
          </w:tcPr>
          <w:p>
            <w:pPr>
              <w:pStyle w:val="2"/>
              <w:numPr>
                <w:ilvl w:val="0"/>
                <w:numId w:val="0"/>
              </w:numPr>
              <w:rPr>
                <w:rFonts w:hint="eastAsia" w:ascii="仿宋" w:hAnsi="仿宋" w:eastAsia="仿宋"/>
                <w:b/>
                <w:szCs w:val="21"/>
                <w:lang w:val="en-US" w:eastAsia="zh-CN"/>
              </w:rPr>
            </w:pPr>
            <w:r>
              <w:rPr>
                <w:rFonts w:hint="eastAsia" w:ascii="仿宋" w:hAnsi="仿宋" w:eastAsia="仿宋"/>
                <w:b/>
                <w:szCs w:val="21"/>
                <w:lang w:val="en-US" w:eastAsia="zh-CN"/>
              </w:rPr>
              <w:t>参数要求</w:t>
            </w:r>
          </w:p>
        </w:tc>
        <w:tc>
          <w:tcPr>
            <w:tcW w:w="885" w:type="dxa"/>
            <w:vMerge w:val="continue"/>
            <w:tcBorders/>
          </w:tcPr>
          <w:p>
            <w:pPr>
              <w:pStyle w:val="2"/>
              <w:numPr>
                <w:ilvl w:val="0"/>
                <w:numId w:val="0"/>
              </w:numPr>
              <w:rPr>
                <w:rFonts w:hint="eastAsia" w:ascii="仿宋" w:hAnsi="仿宋" w:eastAsia="仿宋"/>
                <w:b/>
                <w:szCs w:val="21"/>
                <w:lang w:val="en-US" w:eastAsia="zh-CN"/>
              </w:rPr>
            </w:pPr>
          </w:p>
        </w:tc>
        <w:tc>
          <w:tcPr>
            <w:tcW w:w="1410" w:type="dxa"/>
            <w:vMerge w:val="continue"/>
            <w:tcBorders/>
          </w:tcPr>
          <w:p>
            <w:pPr>
              <w:pStyle w:val="2"/>
              <w:numPr>
                <w:ilvl w:val="0"/>
                <w:numId w:val="0"/>
              </w:numPr>
              <w:rPr>
                <w:rFonts w:hint="eastAsia" w:ascii="仿宋" w:hAnsi="仿宋" w:eastAsia="仿宋"/>
                <w:b/>
                <w:szCs w:val="21"/>
                <w:lang w:val="en-US" w:eastAsia="zh-CN"/>
              </w:rPr>
            </w:pPr>
          </w:p>
        </w:tc>
        <w:tc>
          <w:tcPr>
            <w:tcW w:w="1846" w:type="dxa"/>
            <w:vMerge w:val="continue"/>
            <w:tcBorders/>
          </w:tcPr>
          <w:p>
            <w:pPr>
              <w:pStyle w:val="2"/>
              <w:numPr>
                <w:ilvl w:val="0"/>
                <w:numId w:val="0"/>
              </w:numPr>
              <w:rPr>
                <w:rFonts w:hint="eastAsia" w:ascii="微软雅黑" w:hAnsi="微软雅黑" w:eastAsia="微软雅黑" w:cs="微软雅黑"/>
                <w:b/>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pStyle w:val="2"/>
              <w:numPr>
                <w:ilvl w:val="0"/>
                <w:numId w:val="1"/>
              </w:numPr>
              <w:ind w:left="425" w:leftChars="0" w:hanging="425" w:firstLineChars="0"/>
              <w:rPr>
                <w:rFonts w:hint="eastAsia" w:ascii="微软雅黑" w:hAnsi="微软雅黑" w:eastAsia="微软雅黑" w:cs="微软雅黑"/>
                <w:b/>
                <w:bCs w:val="0"/>
                <w:sz w:val="24"/>
                <w:szCs w:val="24"/>
                <w:lang w:val="en-US" w:eastAsia="zh-CN"/>
              </w:rPr>
            </w:pPr>
          </w:p>
        </w:tc>
        <w:tc>
          <w:tcPr>
            <w:tcW w:w="3585" w:type="dxa"/>
          </w:tcPr>
          <w:p>
            <w:pPr>
              <w:pStyle w:val="2"/>
              <w:numPr>
                <w:ilvl w:val="0"/>
                <w:numId w:val="0"/>
              </w:numPr>
              <w:rPr>
                <w:rFonts w:hint="eastAsia" w:ascii="微软雅黑" w:hAnsi="微软雅黑" w:eastAsia="微软雅黑" w:cs="微软雅黑"/>
                <w:b/>
                <w:bCs w:val="0"/>
                <w:sz w:val="24"/>
                <w:szCs w:val="24"/>
                <w:lang w:val="en-US" w:eastAsia="zh-CN"/>
              </w:rPr>
            </w:pPr>
            <w:r>
              <w:rPr>
                <w:rFonts w:hint="eastAsia" w:ascii="微软雅黑" w:hAnsi="微软雅黑" w:eastAsia="微软雅黑" w:cs="微软雅黑"/>
                <w:b/>
                <w:bCs w:val="0"/>
                <w:sz w:val="24"/>
                <w:szCs w:val="24"/>
                <w:lang w:val="en-US" w:eastAsia="zh-CN"/>
              </w:rPr>
              <w:t>睡眠评估系统</w:t>
            </w:r>
          </w:p>
        </w:tc>
        <w:tc>
          <w:tcPr>
            <w:tcW w:w="885" w:type="dxa"/>
          </w:tcPr>
          <w:p>
            <w:pPr>
              <w:pStyle w:val="2"/>
              <w:numPr>
                <w:ilvl w:val="0"/>
                <w:numId w:val="0"/>
              </w:numPr>
              <w:rPr>
                <w:rFonts w:hint="eastAsia" w:ascii="微软雅黑" w:hAnsi="微软雅黑" w:eastAsia="微软雅黑" w:cs="微软雅黑"/>
                <w:b/>
                <w:bCs w:val="0"/>
                <w:sz w:val="24"/>
                <w:szCs w:val="24"/>
                <w:lang w:val="en-US" w:eastAsia="zh-CN"/>
              </w:rPr>
            </w:pPr>
          </w:p>
        </w:tc>
        <w:tc>
          <w:tcPr>
            <w:tcW w:w="1410" w:type="dxa"/>
          </w:tcPr>
          <w:p>
            <w:pPr>
              <w:pStyle w:val="2"/>
              <w:numPr>
                <w:ilvl w:val="0"/>
                <w:numId w:val="0"/>
              </w:numPr>
              <w:rPr>
                <w:rFonts w:hint="eastAsia" w:ascii="微软雅黑" w:hAnsi="微软雅黑" w:eastAsia="微软雅黑" w:cs="微软雅黑"/>
                <w:b/>
                <w:bCs w:val="0"/>
                <w:sz w:val="24"/>
                <w:szCs w:val="24"/>
                <w:lang w:val="en-US" w:eastAsia="zh-CN"/>
              </w:rPr>
            </w:pPr>
          </w:p>
        </w:tc>
        <w:tc>
          <w:tcPr>
            <w:tcW w:w="1846" w:type="dxa"/>
          </w:tcPr>
          <w:p>
            <w:pPr>
              <w:pStyle w:val="2"/>
              <w:numPr>
                <w:ilvl w:val="0"/>
                <w:numId w:val="0"/>
              </w:numPr>
              <w:rPr>
                <w:rFonts w:hint="eastAsia" w:ascii="微软雅黑" w:hAnsi="微软雅黑" w:eastAsia="微软雅黑" w:cs="微软雅黑"/>
                <w:b/>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numPr>
                <w:ilvl w:val="0"/>
                <w:numId w:val="1"/>
              </w:numPr>
              <w:ind w:left="425" w:leftChars="0" w:hanging="425" w:firstLineChars="0"/>
              <w:rPr>
                <w:rFonts w:hint="eastAsia" w:ascii="微软雅黑" w:hAnsi="微软雅黑" w:eastAsia="微软雅黑" w:cs="微软雅黑"/>
                <w:sz w:val="24"/>
                <w:szCs w:val="24"/>
              </w:rPr>
            </w:pPr>
          </w:p>
        </w:tc>
        <w:tc>
          <w:tcPr>
            <w:tcW w:w="3585" w:type="dxa"/>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睡眠量表（或问卷）结构组成</w:t>
            </w:r>
          </w:p>
        </w:tc>
        <w:tc>
          <w:tcPr>
            <w:tcW w:w="885" w:type="dxa"/>
          </w:tcPr>
          <w:p>
            <w:pPr>
              <w:rPr>
                <w:rFonts w:hint="eastAsia" w:ascii="微软雅黑" w:hAnsi="微软雅黑" w:eastAsia="微软雅黑" w:cs="微软雅黑"/>
                <w:sz w:val="24"/>
                <w:szCs w:val="24"/>
              </w:rPr>
            </w:pPr>
          </w:p>
        </w:tc>
        <w:tc>
          <w:tcPr>
            <w:tcW w:w="1410" w:type="dxa"/>
          </w:tcPr>
          <w:p>
            <w:pPr>
              <w:rPr>
                <w:rFonts w:hint="eastAsia" w:ascii="微软雅黑" w:hAnsi="微软雅黑" w:eastAsia="微软雅黑" w:cs="微软雅黑"/>
                <w:sz w:val="24"/>
                <w:szCs w:val="24"/>
              </w:rPr>
            </w:pPr>
          </w:p>
        </w:tc>
        <w:tc>
          <w:tcPr>
            <w:tcW w:w="1846" w:type="dxa"/>
          </w:tcPr>
          <w:p>
            <w:pPr>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numPr>
                <w:ilvl w:val="0"/>
                <w:numId w:val="1"/>
              </w:numPr>
              <w:ind w:left="425" w:leftChars="0" w:hanging="425" w:firstLineChars="0"/>
              <w:rPr>
                <w:rFonts w:hint="eastAsia" w:ascii="微软雅黑" w:hAnsi="微软雅黑" w:eastAsia="微软雅黑" w:cs="微软雅黑"/>
                <w:sz w:val="24"/>
                <w:szCs w:val="24"/>
              </w:rPr>
            </w:pPr>
          </w:p>
        </w:tc>
        <w:tc>
          <w:tcPr>
            <w:tcW w:w="3585" w:type="dxa"/>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睡眠量表（问卷）；</w:t>
            </w:r>
          </w:p>
        </w:tc>
        <w:tc>
          <w:tcPr>
            <w:tcW w:w="885" w:type="dxa"/>
          </w:tcPr>
          <w:p>
            <w:pPr>
              <w:rPr>
                <w:rFonts w:hint="eastAsia" w:ascii="微软雅黑" w:hAnsi="微软雅黑" w:eastAsia="微软雅黑" w:cs="微软雅黑"/>
                <w:sz w:val="24"/>
                <w:szCs w:val="24"/>
              </w:rPr>
            </w:pPr>
          </w:p>
        </w:tc>
        <w:tc>
          <w:tcPr>
            <w:tcW w:w="1410" w:type="dxa"/>
          </w:tcPr>
          <w:p>
            <w:pPr>
              <w:rPr>
                <w:rFonts w:hint="eastAsia" w:ascii="微软雅黑" w:hAnsi="微软雅黑" w:eastAsia="微软雅黑" w:cs="微软雅黑"/>
                <w:sz w:val="24"/>
                <w:szCs w:val="24"/>
              </w:rPr>
            </w:pPr>
          </w:p>
        </w:tc>
        <w:tc>
          <w:tcPr>
            <w:tcW w:w="1846" w:type="dxa"/>
          </w:tcPr>
          <w:p>
            <w:pPr>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numPr>
                <w:ilvl w:val="0"/>
                <w:numId w:val="1"/>
              </w:numPr>
              <w:ind w:left="425" w:leftChars="0" w:hanging="425" w:firstLineChars="0"/>
              <w:rPr>
                <w:rFonts w:hint="eastAsia" w:ascii="微软雅黑" w:hAnsi="微软雅黑" w:eastAsia="微软雅黑" w:cs="微软雅黑"/>
                <w:sz w:val="24"/>
                <w:szCs w:val="24"/>
              </w:rPr>
            </w:pPr>
          </w:p>
        </w:tc>
        <w:tc>
          <w:tcPr>
            <w:tcW w:w="3585" w:type="dxa"/>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生物特性、人格、生活问卷；</w:t>
            </w:r>
          </w:p>
        </w:tc>
        <w:tc>
          <w:tcPr>
            <w:tcW w:w="885" w:type="dxa"/>
          </w:tcPr>
          <w:p>
            <w:pPr>
              <w:rPr>
                <w:rFonts w:hint="eastAsia" w:ascii="微软雅黑" w:hAnsi="微软雅黑" w:eastAsia="微软雅黑" w:cs="微软雅黑"/>
                <w:sz w:val="24"/>
                <w:szCs w:val="24"/>
              </w:rPr>
            </w:pPr>
          </w:p>
        </w:tc>
        <w:tc>
          <w:tcPr>
            <w:tcW w:w="1410" w:type="dxa"/>
          </w:tcPr>
          <w:p>
            <w:pPr>
              <w:rPr>
                <w:rFonts w:hint="eastAsia" w:ascii="微软雅黑" w:hAnsi="微软雅黑" w:eastAsia="微软雅黑" w:cs="微软雅黑"/>
                <w:sz w:val="24"/>
                <w:szCs w:val="24"/>
              </w:rPr>
            </w:pPr>
          </w:p>
        </w:tc>
        <w:tc>
          <w:tcPr>
            <w:tcW w:w="1846" w:type="dxa"/>
          </w:tcPr>
          <w:p>
            <w:pPr>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numPr>
                <w:ilvl w:val="0"/>
                <w:numId w:val="1"/>
              </w:numPr>
              <w:ind w:left="425" w:leftChars="0" w:hanging="425" w:firstLineChars="0"/>
              <w:rPr>
                <w:rFonts w:hint="eastAsia" w:ascii="微软雅黑" w:hAnsi="微软雅黑" w:eastAsia="微软雅黑" w:cs="微软雅黑"/>
                <w:sz w:val="24"/>
                <w:szCs w:val="24"/>
              </w:rPr>
            </w:pPr>
          </w:p>
        </w:tc>
        <w:tc>
          <w:tcPr>
            <w:tcW w:w="3585" w:type="dxa"/>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神经、精神、疲劳问卷；</w:t>
            </w:r>
          </w:p>
        </w:tc>
        <w:tc>
          <w:tcPr>
            <w:tcW w:w="885" w:type="dxa"/>
          </w:tcPr>
          <w:p>
            <w:pPr>
              <w:rPr>
                <w:rFonts w:hint="eastAsia" w:ascii="微软雅黑" w:hAnsi="微软雅黑" w:eastAsia="微软雅黑" w:cs="微软雅黑"/>
                <w:sz w:val="24"/>
                <w:szCs w:val="24"/>
              </w:rPr>
            </w:pPr>
          </w:p>
        </w:tc>
        <w:tc>
          <w:tcPr>
            <w:tcW w:w="1410" w:type="dxa"/>
          </w:tcPr>
          <w:p>
            <w:pPr>
              <w:rPr>
                <w:rFonts w:hint="eastAsia" w:ascii="微软雅黑" w:hAnsi="微软雅黑" w:eastAsia="微软雅黑" w:cs="微软雅黑"/>
                <w:sz w:val="24"/>
                <w:szCs w:val="24"/>
              </w:rPr>
            </w:pPr>
          </w:p>
        </w:tc>
        <w:tc>
          <w:tcPr>
            <w:tcW w:w="1846" w:type="dxa"/>
          </w:tcPr>
          <w:p>
            <w:pPr>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numPr>
                <w:ilvl w:val="0"/>
                <w:numId w:val="1"/>
              </w:numPr>
              <w:ind w:left="425" w:leftChars="0" w:hanging="425" w:firstLineChars="0"/>
              <w:rPr>
                <w:rFonts w:hint="eastAsia" w:ascii="微软雅黑" w:hAnsi="微软雅黑" w:eastAsia="微软雅黑" w:cs="微软雅黑"/>
                <w:sz w:val="24"/>
                <w:szCs w:val="24"/>
              </w:rPr>
            </w:pPr>
          </w:p>
        </w:tc>
        <w:tc>
          <w:tcPr>
            <w:tcW w:w="3585" w:type="dxa"/>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婴儿、儿童青少年睡眠量表。</w:t>
            </w:r>
          </w:p>
        </w:tc>
        <w:tc>
          <w:tcPr>
            <w:tcW w:w="885" w:type="dxa"/>
          </w:tcPr>
          <w:p>
            <w:pPr>
              <w:rPr>
                <w:rFonts w:hint="eastAsia" w:ascii="微软雅黑" w:hAnsi="微软雅黑" w:eastAsia="微软雅黑" w:cs="微软雅黑"/>
                <w:sz w:val="24"/>
                <w:szCs w:val="24"/>
              </w:rPr>
            </w:pPr>
          </w:p>
        </w:tc>
        <w:tc>
          <w:tcPr>
            <w:tcW w:w="1410" w:type="dxa"/>
          </w:tcPr>
          <w:p>
            <w:pPr>
              <w:rPr>
                <w:rFonts w:hint="eastAsia" w:ascii="微软雅黑" w:hAnsi="微软雅黑" w:eastAsia="微软雅黑" w:cs="微软雅黑"/>
                <w:sz w:val="24"/>
                <w:szCs w:val="24"/>
              </w:rPr>
            </w:pPr>
          </w:p>
        </w:tc>
        <w:tc>
          <w:tcPr>
            <w:tcW w:w="1846" w:type="dxa"/>
          </w:tcPr>
          <w:p>
            <w:pPr>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numPr>
                <w:ilvl w:val="0"/>
                <w:numId w:val="1"/>
              </w:numPr>
              <w:ind w:left="425" w:leftChars="0" w:hanging="425" w:firstLineChars="0"/>
              <w:rPr>
                <w:rFonts w:hint="eastAsia" w:ascii="微软雅黑" w:hAnsi="微软雅黑" w:eastAsia="微软雅黑" w:cs="微软雅黑"/>
                <w:sz w:val="24"/>
                <w:szCs w:val="24"/>
              </w:rPr>
            </w:pPr>
          </w:p>
        </w:tc>
        <w:tc>
          <w:tcPr>
            <w:tcW w:w="3585" w:type="dxa"/>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功能特点</w:t>
            </w:r>
          </w:p>
        </w:tc>
        <w:tc>
          <w:tcPr>
            <w:tcW w:w="885" w:type="dxa"/>
          </w:tcPr>
          <w:p>
            <w:pPr>
              <w:rPr>
                <w:rFonts w:hint="eastAsia" w:ascii="微软雅黑" w:hAnsi="微软雅黑" w:eastAsia="微软雅黑" w:cs="微软雅黑"/>
                <w:sz w:val="24"/>
                <w:szCs w:val="24"/>
              </w:rPr>
            </w:pPr>
          </w:p>
        </w:tc>
        <w:tc>
          <w:tcPr>
            <w:tcW w:w="1410" w:type="dxa"/>
          </w:tcPr>
          <w:p>
            <w:pPr>
              <w:rPr>
                <w:rFonts w:hint="eastAsia" w:ascii="微软雅黑" w:hAnsi="微软雅黑" w:eastAsia="微软雅黑" w:cs="微软雅黑"/>
                <w:sz w:val="24"/>
                <w:szCs w:val="24"/>
              </w:rPr>
            </w:pPr>
          </w:p>
        </w:tc>
        <w:tc>
          <w:tcPr>
            <w:tcW w:w="1846" w:type="dxa"/>
          </w:tcPr>
          <w:p>
            <w:pPr>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numPr>
                <w:ilvl w:val="0"/>
                <w:numId w:val="1"/>
              </w:numPr>
              <w:ind w:left="425" w:leftChars="0" w:hanging="425" w:firstLineChars="0"/>
              <w:rPr>
                <w:rFonts w:hint="eastAsia" w:ascii="微软雅黑" w:hAnsi="微软雅黑" w:eastAsia="微软雅黑" w:cs="微软雅黑"/>
                <w:sz w:val="24"/>
                <w:szCs w:val="24"/>
              </w:rPr>
            </w:pPr>
          </w:p>
        </w:tc>
        <w:tc>
          <w:tcPr>
            <w:tcW w:w="3585" w:type="dxa"/>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专业睡眠障碍的“睡眠评估系统”产品，既可满足临床常规应用的需要，又可满足科研的需要。产品既适用于专业科室，又满足非专业科室的需要。</w:t>
            </w:r>
          </w:p>
        </w:tc>
        <w:tc>
          <w:tcPr>
            <w:tcW w:w="885" w:type="dxa"/>
          </w:tcPr>
          <w:p>
            <w:pPr>
              <w:rPr>
                <w:rFonts w:hint="eastAsia" w:ascii="微软雅黑" w:hAnsi="微软雅黑" w:eastAsia="微软雅黑" w:cs="微软雅黑"/>
                <w:sz w:val="24"/>
                <w:szCs w:val="24"/>
              </w:rPr>
            </w:pPr>
          </w:p>
        </w:tc>
        <w:tc>
          <w:tcPr>
            <w:tcW w:w="1410" w:type="dxa"/>
          </w:tcPr>
          <w:p>
            <w:pPr>
              <w:rPr>
                <w:rFonts w:hint="eastAsia" w:ascii="微软雅黑" w:hAnsi="微软雅黑" w:eastAsia="微软雅黑" w:cs="微软雅黑"/>
                <w:sz w:val="24"/>
                <w:szCs w:val="24"/>
              </w:rPr>
            </w:pPr>
          </w:p>
        </w:tc>
        <w:tc>
          <w:tcPr>
            <w:tcW w:w="1846" w:type="dxa"/>
          </w:tcPr>
          <w:p>
            <w:pPr>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numPr>
                <w:ilvl w:val="0"/>
                <w:numId w:val="1"/>
              </w:numPr>
              <w:ind w:left="425" w:leftChars="0" w:hanging="425" w:firstLineChars="0"/>
              <w:rPr>
                <w:rFonts w:hint="eastAsia" w:ascii="微软雅黑" w:hAnsi="微软雅黑" w:eastAsia="微软雅黑" w:cs="微软雅黑"/>
                <w:sz w:val="24"/>
                <w:szCs w:val="24"/>
              </w:rPr>
            </w:pPr>
          </w:p>
        </w:tc>
        <w:tc>
          <w:tcPr>
            <w:tcW w:w="3585" w:type="dxa"/>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睡眠评估系统以公认、常用的评估量表为主，结合睡眠医学涉及面广、交叉、复杂的现实情况和我公司产品特点，睡眠评估系统需要包含“布雷弗曼生物特性测评、布雷弗曼生物特性神经传导素缺损指数测评”量表，及</w:t>
            </w:r>
            <w:r>
              <w:rPr>
                <w:rFonts w:hint="eastAsia" w:ascii="微软雅黑" w:hAnsi="微软雅黑" w:eastAsia="微软雅黑" w:cs="微软雅黑"/>
                <w:sz w:val="24"/>
                <w:szCs w:val="24"/>
                <w:lang w:val="zh-CN"/>
              </w:rPr>
              <w:t>WHO生存质量测定量表(WHOQOL-100)由世界卫生组织研制的、用于测量个体与健康有关的生存质量的国际性量表，</w:t>
            </w:r>
            <w:r>
              <w:rPr>
                <w:rFonts w:hint="eastAsia" w:ascii="微软雅黑" w:hAnsi="微软雅黑" w:eastAsia="微软雅黑" w:cs="微软雅黑"/>
                <w:sz w:val="24"/>
                <w:szCs w:val="24"/>
              </w:rPr>
              <w:t>康奈尔健康问卷（CMI）等。</w:t>
            </w:r>
          </w:p>
        </w:tc>
        <w:tc>
          <w:tcPr>
            <w:tcW w:w="885" w:type="dxa"/>
          </w:tcPr>
          <w:p>
            <w:pPr>
              <w:rPr>
                <w:rFonts w:hint="eastAsia" w:ascii="微软雅黑" w:hAnsi="微软雅黑" w:eastAsia="微软雅黑" w:cs="微软雅黑"/>
                <w:sz w:val="24"/>
                <w:szCs w:val="24"/>
              </w:rPr>
            </w:pPr>
          </w:p>
        </w:tc>
        <w:tc>
          <w:tcPr>
            <w:tcW w:w="1410" w:type="dxa"/>
          </w:tcPr>
          <w:p>
            <w:pPr>
              <w:rPr>
                <w:rFonts w:hint="eastAsia" w:ascii="微软雅黑" w:hAnsi="微软雅黑" w:eastAsia="微软雅黑" w:cs="微软雅黑"/>
                <w:sz w:val="24"/>
                <w:szCs w:val="24"/>
              </w:rPr>
            </w:pPr>
          </w:p>
        </w:tc>
        <w:tc>
          <w:tcPr>
            <w:tcW w:w="1846" w:type="dxa"/>
          </w:tcPr>
          <w:p>
            <w:pPr>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numPr>
                <w:ilvl w:val="0"/>
                <w:numId w:val="1"/>
              </w:numPr>
              <w:ind w:left="425" w:leftChars="0" w:hanging="425" w:firstLineChars="0"/>
              <w:rPr>
                <w:rFonts w:hint="eastAsia" w:ascii="微软雅黑" w:hAnsi="微软雅黑" w:eastAsia="微软雅黑" w:cs="微软雅黑"/>
                <w:sz w:val="24"/>
                <w:szCs w:val="24"/>
              </w:rPr>
            </w:pPr>
          </w:p>
        </w:tc>
        <w:tc>
          <w:tcPr>
            <w:tcW w:w="3585" w:type="dxa"/>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“睡眠评估系统”产品具有：常规评估报告和（AI）人工智能评估报告两种方式，为临床和科研提供新的参考数据。</w:t>
            </w:r>
          </w:p>
        </w:tc>
        <w:tc>
          <w:tcPr>
            <w:tcW w:w="885" w:type="dxa"/>
          </w:tcPr>
          <w:p>
            <w:pPr>
              <w:rPr>
                <w:rFonts w:hint="eastAsia" w:ascii="微软雅黑" w:hAnsi="微软雅黑" w:eastAsia="微软雅黑" w:cs="微软雅黑"/>
                <w:sz w:val="24"/>
                <w:szCs w:val="24"/>
              </w:rPr>
            </w:pPr>
          </w:p>
        </w:tc>
        <w:tc>
          <w:tcPr>
            <w:tcW w:w="1410" w:type="dxa"/>
          </w:tcPr>
          <w:p>
            <w:pPr>
              <w:rPr>
                <w:rFonts w:hint="eastAsia" w:ascii="微软雅黑" w:hAnsi="微软雅黑" w:eastAsia="微软雅黑" w:cs="微软雅黑"/>
                <w:sz w:val="24"/>
                <w:szCs w:val="24"/>
              </w:rPr>
            </w:pPr>
          </w:p>
        </w:tc>
        <w:tc>
          <w:tcPr>
            <w:tcW w:w="1846" w:type="dxa"/>
          </w:tcPr>
          <w:p>
            <w:pPr>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numPr>
                <w:ilvl w:val="0"/>
                <w:numId w:val="1"/>
              </w:numPr>
              <w:ind w:left="425" w:leftChars="0" w:hanging="425" w:firstLineChars="0"/>
              <w:rPr>
                <w:rFonts w:hint="eastAsia" w:ascii="微软雅黑" w:hAnsi="微软雅黑" w:eastAsia="微软雅黑" w:cs="微软雅黑"/>
                <w:sz w:val="24"/>
                <w:szCs w:val="24"/>
              </w:rPr>
            </w:pPr>
          </w:p>
        </w:tc>
        <w:tc>
          <w:tcPr>
            <w:tcW w:w="3585" w:type="dxa"/>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睡眠评估系统”产品具有：睡眠及相关评估报告结果解读的参考和评分方法的介绍，方便临床实践中正确的对睡眠评估系统各种量表（或问卷）的选择与使用等。</w:t>
            </w:r>
          </w:p>
        </w:tc>
        <w:tc>
          <w:tcPr>
            <w:tcW w:w="885" w:type="dxa"/>
          </w:tcPr>
          <w:p>
            <w:pPr>
              <w:rPr>
                <w:rFonts w:hint="eastAsia" w:ascii="微软雅黑" w:hAnsi="微软雅黑" w:eastAsia="微软雅黑" w:cs="微软雅黑"/>
                <w:sz w:val="24"/>
                <w:szCs w:val="24"/>
              </w:rPr>
            </w:pPr>
          </w:p>
        </w:tc>
        <w:tc>
          <w:tcPr>
            <w:tcW w:w="1410" w:type="dxa"/>
          </w:tcPr>
          <w:p>
            <w:pPr>
              <w:rPr>
                <w:rFonts w:hint="eastAsia" w:ascii="微软雅黑" w:hAnsi="微软雅黑" w:eastAsia="微软雅黑" w:cs="微软雅黑"/>
                <w:sz w:val="24"/>
                <w:szCs w:val="24"/>
              </w:rPr>
            </w:pPr>
          </w:p>
        </w:tc>
        <w:tc>
          <w:tcPr>
            <w:tcW w:w="1846" w:type="dxa"/>
          </w:tcPr>
          <w:p>
            <w:pPr>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bCs/>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认知语言功能和精神状态评估模块管理</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评估模块管理具有筛查评估量表､结果报告及打印､档案管理等功能｡</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筛查评估量表管理:具有丰富的筛查测评量表(49份以上),可供医生对患者进行全面客观的评估和筛查管理｡具体量表需包括记忆能力､执行能力､日常生活能力､社会认知与行为､精神疾病筛查､情绪状态､睡眠､精神健康､生活能力方面的测评管理｡</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 xml:space="preserve">具有资料存储与统计功能,所有测评资料均可通过姓名､账号等信息进行检索､统计。 </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他评（双屏）测评亮点功能：</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医生/测评师可以自定义量表组合，并且可以对于量表使用顺序进行排序。系统会根据医生所选量表预估总测评时间。</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量表内可以供患者使用手指（surface go）或鼠标（电脑）进行绘画，并在量表内记录患者答题轨迹（比如MoCA里的连线，画钟等）</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量表自带测试图片，无需另外准备测试图片（比如波士顿命名等）</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量表具有计时以及倒计时功能，无需医生/测评师自己找计时工具（比如言语流畅性等）</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量表分为主试/被试两个屏幕进行操作，完全还原纸质测评得操作环境。</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主试屏幕可以实时监控被试屏幕的内容进展，并根据进展进行评分。</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量表自带算分功能，无需另外根据复杂的规则计算总分</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bCs/>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训练模块管理</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训练模块具有档案管理､疾病管理､认知言语训练管理等模块｡</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训练内容具有:10000+训练方案组合，其中基础训练具有记忆力､注意力､计算力､执行力､感知觉、听理解训练､语音训练､阅读训练等多种训练项目的管理。</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系统训练程序均可根据训练情况自动调整训练难度｡</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系统可进行35种以上常见相关疾病的管理｡</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系统带有查看功能:可将患者训练情况､训练时间、训练方案等信息实时储存。</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系统具有规范流程管理:涵盖初步筛查､训练方案制定､训练方案执行监督､再测评等全过程｡可收集全部数据供医院学术研究使用｡</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系统根据评估结果自动生成详细的治疗方案,也可根据患者情况自行勾选训练范式,同时支持自定义训练方案的制定和调整管理｡</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bCs/>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集中托管式测评、训练管理功能</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系统采用主机+多终端的分布式结构，实现1个医生能够同时对多个病人进行评估和训练，减少医生重复劳动，提高院内工作效率</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主机端可批量处理多个病人的评估/训练任务，并可在主机屏幕实时监测病人的训练情况。</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主机端可以集中控制训练终端的状态，如待机，关机，强制关闭等。</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可根据实际场景需要，搭配不同的指定终端设备，包括PC、平板电脑等移动设备。</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bCs/>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系统其他的管理与支持功能</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采用稳定成熟的C\S内部嵌套B\S构架构，具有较高的稳定性。</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系统支持传统的PC终端和平板，实现患者的评估过程､训练记录等信息快速便捷收集｡</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系统可根据临床需要生成个性化的病人报告｡</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系统具有详细的训练结果反馈；完整直观地记录、包括累计训练天数、训练次数、训练时长等，便于监测和管理，系统根据实时训练情况综合分析并呈现患者的脑能力状态。</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系统可对于治疗前､中､后的患者进行量化的疗效分析对比管理｡</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系统带有自动备份恢复功能｡</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系统支持平板移动端与电脑端多终端同时登录，支持门诊、病房与康复室多场景使用。</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系统具有系统管理员端和医生端，系统管理员端可在此对全院（全科室）的医生端账号进行管理、搜索；查看各医生名下的患者数量、使用权限状态、所处科室等信息；以及新增医生账号，支持医生之间对患者的移交。</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5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系统专业数据库，可存储上亿条的治疗数据。</w:t>
            </w:r>
          </w:p>
        </w:tc>
        <w:tc>
          <w:tcPr>
            <w:tcW w:w="885"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41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c>
          <w:tcPr>
            <w:tcW w:w="1846"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pStyle w:val="2"/>
              <w:numPr>
                <w:ilvl w:val="0"/>
                <w:numId w:val="1"/>
              </w:numPr>
              <w:ind w:left="425" w:leftChars="0" w:hanging="425" w:firstLineChars="0"/>
              <w:rPr>
                <w:rFonts w:hint="eastAsia" w:ascii="微软雅黑" w:hAnsi="微软雅黑" w:cs="微软雅黑"/>
                <w:b w:val="0"/>
                <w:bCs w:val="0"/>
                <w:color w:val="auto"/>
                <w:sz w:val="24"/>
                <w:szCs w:val="24"/>
                <w:lang w:val="en-US" w:eastAsia="zh-CN"/>
              </w:rPr>
            </w:pPr>
          </w:p>
        </w:tc>
        <w:tc>
          <w:tcPr>
            <w:tcW w:w="3585" w:type="dxa"/>
          </w:tcPr>
          <w:p>
            <w:pPr>
              <w:pStyle w:val="2"/>
              <w:rPr>
                <w:rFonts w:hint="default" w:ascii="微软雅黑" w:hAnsi="微软雅黑" w:eastAsia="微软雅黑" w:cs="微软雅黑"/>
                <w:b w:val="0"/>
                <w:bCs w:val="0"/>
                <w:color w:val="auto"/>
                <w:sz w:val="24"/>
                <w:szCs w:val="24"/>
                <w:lang w:val="en-US" w:eastAsia="zh-CN"/>
              </w:rPr>
            </w:pPr>
            <w:r>
              <w:rPr>
                <w:rFonts w:hint="eastAsia" w:ascii="微软雅黑" w:hAnsi="微软雅黑" w:cs="微软雅黑"/>
                <w:b w:val="0"/>
                <w:bCs w:val="0"/>
                <w:color w:val="auto"/>
                <w:sz w:val="24"/>
                <w:szCs w:val="24"/>
                <w:lang w:val="en-US" w:eastAsia="zh-CN"/>
              </w:rPr>
              <w:t>软件终身免费升级。</w:t>
            </w:r>
          </w:p>
        </w:tc>
        <w:tc>
          <w:tcPr>
            <w:tcW w:w="885" w:type="dxa"/>
          </w:tcPr>
          <w:p>
            <w:pPr>
              <w:pStyle w:val="2"/>
              <w:rPr>
                <w:rFonts w:hint="eastAsia" w:ascii="微软雅黑" w:hAnsi="微软雅黑" w:cs="微软雅黑"/>
                <w:b w:val="0"/>
                <w:bCs w:val="0"/>
                <w:color w:val="auto"/>
                <w:sz w:val="24"/>
                <w:szCs w:val="24"/>
                <w:lang w:val="en-US" w:eastAsia="zh-CN"/>
              </w:rPr>
            </w:pPr>
          </w:p>
        </w:tc>
        <w:tc>
          <w:tcPr>
            <w:tcW w:w="1410" w:type="dxa"/>
          </w:tcPr>
          <w:p>
            <w:pPr>
              <w:pStyle w:val="2"/>
              <w:rPr>
                <w:rFonts w:hint="eastAsia" w:ascii="微软雅黑" w:hAnsi="微软雅黑" w:cs="微软雅黑"/>
                <w:b w:val="0"/>
                <w:bCs w:val="0"/>
                <w:color w:val="auto"/>
                <w:sz w:val="24"/>
                <w:szCs w:val="24"/>
                <w:lang w:val="en-US" w:eastAsia="zh-CN"/>
              </w:rPr>
            </w:pPr>
          </w:p>
        </w:tc>
        <w:tc>
          <w:tcPr>
            <w:tcW w:w="1846" w:type="dxa"/>
          </w:tcPr>
          <w:p>
            <w:pPr>
              <w:pStyle w:val="2"/>
              <w:rPr>
                <w:rFonts w:hint="eastAsia" w:ascii="微软雅黑" w:hAnsi="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96" w:type="dxa"/>
          </w:tcPr>
          <w:p>
            <w:pPr>
              <w:pStyle w:val="2"/>
              <w:numPr>
                <w:ilvl w:val="0"/>
                <w:numId w:val="1"/>
              </w:numPr>
              <w:ind w:left="425" w:leftChars="0" w:hanging="425" w:firstLineChars="0"/>
              <w:rPr>
                <w:rFonts w:hint="eastAsia" w:ascii="微软雅黑" w:hAnsi="微软雅黑" w:cs="微软雅黑"/>
                <w:b w:val="0"/>
                <w:bCs w:val="0"/>
                <w:color w:val="auto"/>
                <w:sz w:val="24"/>
                <w:szCs w:val="24"/>
                <w:lang w:val="en-US" w:eastAsia="zh-CN"/>
              </w:rPr>
            </w:pPr>
          </w:p>
        </w:tc>
        <w:tc>
          <w:tcPr>
            <w:tcW w:w="3585" w:type="dxa"/>
          </w:tcPr>
          <w:p>
            <w:pPr>
              <w:pStyle w:val="2"/>
              <w:rPr>
                <w:rFonts w:hint="eastAsia" w:ascii="微软雅黑" w:hAnsi="微软雅黑" w:cs="微软雅黑"/>
                <w:b w:val="0"/>
                <w:bCs w:val="0"/>
                <w:color w:val="auto"/>
                <w:sz w:val="24"/>
                <w:szCs w:val="24"/>
                <w:lang w:val="en-US" w:eastAsia="zh-CN"/>
              </w:rPr>
            </w:pPr>
            <w:r>
              <w:rPr>
                <w:rFonts w:hint="eastAsia" w:ascii="微软雅黑" w:hAnsi="微软雅黑" w:cs="微软雅黑"/>
                <w:sz w:val="24"/>
                <w:szCs w:val="24"/>
                <w:lang w:val="en-US" w:eastAsia="zh-CN"/>
              </w:rPr>
              <w:t>质保期3年以上</w:t>
            </w:r>
            <w:r>
              <w:rPr>
                <w:rFonts w:hint="eastAsia" w:ascii="微软雅黑" w:hAnsi="微软雅黑" w:eastAsia="微软雅黑" w:cs="微软雅黑"/>
                <w:b w:val="0"/>
                <w:bCs/>
                <w:sz w:val="24"/>
                <w:szCs w:val="24"/>
                <w:lang w:val="en-US" w:eastAsia="zh-CN"/>
              </w:rPr>
              <w:t>（含所有零部件，包括须定期更换零部件）</w:t>
            </w:r>
          </w:p>
        </w:tc>
        <w:tc>
          <w:tcPr>
            <w:tcW w:w="885" w:type="dxa"/>
          </w:tcPr>
          <w:p>
            <w:pPr>
              <w:pStyle w:val="2"/>
              <w:rPr>
                <w:rFonts w:hint="eastAsia" w:ascii="微软雅黑" w:hAnsi="微软雅黑" w:cs="微软雅黑"/>
                <w:b w:val="0"/>
                <w:bCs w:val="0"/>
                <w:color w:val="auto"/>
                <w:sz w:val="24"/>
                <w:szCs w:val="24"/>
                <w:lang w:val="en-US" w:eastAsia="zh-CN"/>
              </w:rPr>
            </w:pPr>
          </w:p>
        </w:tc>
        <w:tc>
          <w:tcPr>
            <w:tcW w:w="1410" w:type="dxa"/>
          </w:tcPr>
          <w:p>
            <w:pPr>
              <w:pStyle w:val="2"/>
              <w:rPr>
                <w:rFonts w:hint="eastAsia" w:ascii="微软雅黑" w:hAnsi="微软雅黑" w:cs="微软雅黑"/>
                <w:b w:val="0"/>
                <w:bCs w:val="0"/>
                <w:color w:val="auto"/>
                <w:sz w:val="24"/>
                <w:szCs w:val="24"/>
                <w:lang w:val="en-US" w:eastAsia="zh-CN"/>
              </w:rPr>
            </w:pPr>
          </w:p>
        </w:tc>
        <w:tc>
          <w:tcPr>
            <w:tcW w:w="1846" w:type="dxa"/>
          </w:tcPr>
          <w:p>
            <w:pPr>
              <w:pStyle w:val="2"/>
              <w:rPr>
                <w:rFonts w:hint="eastAsia" w:ascii="微软雅黑" w:hAnsi="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6" w:type="dxa"/>
          </w:tcPr>
          <w:p>
            <w:pPr>
              <w:pStyle w:val="2"/>
              <w:numPr>
                <w:ilvl w:val="0"/>
                <w:numId w:val="1"/>
              </w:numPr>
              <w:ind w:left="425" w:leftChars="0" w:hanging="425" w:firstLineChars="0"/>
              <w:rPr>
                <w:rFonts w:hint="eastAsia" w:ascii="微软雅黑" w:hAnsi="微软雅黑" w:cs="微软雅黑"/>
                <w:b w:val="0"/>
                <w:bCs w:val="0"/>
                <w:color w:val="auto"/>
                <w:sz w:val="24"/>
                <w:szCs w:val="24"/>
                <w:lang w:val="en-US" w:eastAsia="zh-CN"/>
              </w:rPr>
            </w:pPr>
          </w:p>
        </w:tc>
        <w:tc>
          <w:tcPr>
            <w:tcW w:w="3585" w:type="dxa"/>
          </w:tcPr>
          <w:p>
            <w:pPr>
              <w:pStyle w:val="2"/>
              <w:rPr>
                <w:rFonts w:hint="eastAsia" w:ascii="微软雅黑" w:hAnsi="微软雅黑" w:cs="微软雅黑"/>
                <w:b w:val="0"/>
                <w:bCs w:val="0"/>
                <w:color w:val="auto"/>
                <w:sz w:val="24"/>
                <w:szCs w:val="24"/>
                <w:lang w:val="en-US" w:eastAsia="zh-CN"/>
              </w:rPr>
            </w:pPr>
            <w:r>
              <w:rPr>
                <w:rFonts w:ascii="宋体" w:hAnsi="宋体" w:eastAsia="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eastAsia="宋体"/>
                <w:sz w:val="24"/>
                <w:szCs w:val="24"/>
              </w:rPr>
              <w:t>。</w:t>
            </w:r>
          </w:p>
        </w:tc>
        <w:tc>
          <w:tcPr>
            <w:tcW w:w="885" w:type="dxa"/>
          </w:tcPr>
          <w:p>
            <w:pPr>
              <w:pStyle w:val="2"/>
              <w:rPr>
                <w:rFonts w:hint="eastAsia" w:ascii="微软雅黑" w:hAnsi="微软雅黑" w:cs="微软雅黑"/>
                <w:b w:val="0"/>
                <w:bCs w:val="0"/>
                <w:color w:val="auto"/>
                <w:sz w:val="24"/>
                <w:szCs w:val="24"/>
                <w:lang w:val="en-US" w:eastAsia="zh-CN"/>
              </w:rPr>
            </w:pPr>
          </w:p>
        </w:tc>
        <w:tc>
          <w:tcPr>
            <w:tcW w:w="1410" w:type="dxa"/>
          </w:tcPr>
          <w:p>
            <w:pPr>
              <w:pStyle w:val="2"/>
              <w:rPr>
                <w:rFonts w:hint="eastAsia" w:ascii="微软雅黑" w:hAnsi="微软雅黑" w:cs="微软雅黑"/>
                <w:b w:val="0"/>
                <w:bCs w:val="0"/>
                <w:color w:val="auto"/>
                <w:sz w:val="24"/>
                <w:szCs w:val="24"/>
                <w:lang w:val="en-US" w:eastAsia="zh-CN"/>
              </w:rPr>
            </w:pPr>
          </w:p>
        </w:tc>
        <w:tc>
          <w:tcPr>
            <w:tcW w:w="1846" w:type="dxa"/>
          </w:tcPr>
          <w:p>
            <w:pPr>
              <w:pStyle w:val="2"/>
              <w:rPr>
                <w:rFonts w:hint="eastAsia" w:ascii="微软雅黑" w:hAnsi="微软雅黑" w:cs="微软雅黑"/>
                <w:b w:val="0"/>
                <w:bCs w:val="0"/>
                <w:color w:val="auto"/>
                <w:sz w:val="24"/>
                <w:szCs w:val="24"/>
                <w:lang w:val="en-US" w:eastAsia="zh-CN"/>
              </w:rPr>
            </w:pPr>
          </w:p>
        </w:tc>
      </w:tr>
    </w:tbl>
    <w:p>
      <w:pPr>
        <w:spacing w:line="280" w:lineRule="exact"/>
        <w:ind w:firstLine="440" w:firstLineChars="200"/>
        <w:rPr>
          <w:rFonts w:ascii="仿宋" w:hAnsi="仿宋" w:eastAsia="仿宋"/>
          <w:szCs w:val="21"/>
        </w:rPr>
      </w:pPr>
      <w:r>
        <w:rPr>
          <w:rFonts w:hint="eastAsia" w:ascii="仿宋" w:hAnsi="仿宋" w:eastAsia="仿宋"/>
          <w:szCs w:val="21"/>
        </w:rPr>
        <w:t>附：</w:t>
      </w:r>
    </w:p>
    <w:p>
      <w:pPr>
        <w:spacing w:line="280" w:lineRule="exact"/>
        <w:ind w:firstLine="44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40" w:firstLineChars="200"/>
        <w:rPr>
          <w:rFonts w:ascii="仿宋" w:hAnsi="仿宋" w:eastAsia="仿宋"/>
          <w:szCs w:val="21"/>
        </w:rPr>
      </w:pPr>
    </w:p>
    <w:p>
      <w:pPr>
        <w:spacing w:line="280" w:lineRule="exact"/>
        <w:ind w:firstLine="44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40" w:firstLineChars="200"/>
        <w:rPr>
          <w:rFonts w:ascii="仿宋" w:hAnsi="仿宋" w:eastAsia="仿宋"/>
          <w:szCs w:val="21"/>
        </w:rPr>
      </w:pPr>
      <w:r>
        <w:rPr>
          <w:rFonts w:hint="eastAsia" w:ascii="仿宋" w:hAnsi="仿宋" w:eastAsia="仿宋"/>
          <w:szCs w:val="21"/>
        </w:rPr>
        <w:t xml:space="preserve"> </w:t>
      </w:r>
    </w:p>
    <w:p>
      <w:pPr>
        <w:spacing w:line="280" w:lineRule="exact"/>
        <w:ind w:firstLine="44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0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7DF162"/>
    <w:multiLevelType w:val="singleLevel"/>
    <w:tmpl w:val="D47DF16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516B0"/>
    <w:rsid w:val="00D02BF0"/>
    <w:rsid w:val="03335918"/>
    <w:rsid w:val="581A1E55"/>
    <w:rsid w:val="615516B0"/>
    <w:rsid w:val="78FB6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beforeLines="0" w:after="25" w:afterLines="0" w:line="240" w:lineRule="auto"/>
      <w:ind w:firstLine="0"/>
      <w:jc w:val="left"/>
    </w:pPr>
    <w:rPr>
      <w:bCs/>
      <w:spacing w:val="10"/>
      <w:kern w:val="0"/>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2020-10-19T23:22:00Z</dcterms:created>
  <dc:creator>王业群</dc:creator>
  <cp:lastModifiedBy>今晚打老虎จุ๊บ</cp:lastModifiedBy>
  <dcterms:modified xsi:type="dcterms:W3CDTF">2020-10-20T07:25:22Z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