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301" w:firstLineChars="100"/>
        <w:jc w:val="center"/>
        <w:rPr>
          <w:rFonts w:hint="eastAsia" w:ascii="黑体" w:hAnsi="宋体" w:eastAsia="黑体"/>
          <w:b/>
          <w:sz w:val="30"/>
          <w:szCs w:val="30"/>
        </w:rPr>
      </w:pPr>
      <w:r>
        <w:rPr>
          <w:rFonts w:hint="eastAsia" w:ascii="黑体" w:hAnsi="宋体" w:eastAsia="黑体"/>
          <w:b/>
          <w:sz w:val="30"/>
          <w:szCs w:val="30"/>
        </w:rPr>
        <w:t>超声经颅多普勒血流分析仪技术参数</w:t>
      </w:r>
    </w:p>
    <w:p>
      <w:pPr>
        <w:tabs>
          <w:tab w:val="left" w:pos="6300"/>
        </w:tabs>
        <w:spacing w:line="300" w:lineRule="auto"/>
        <w:jc w:val="both"/>
        <w:rPr>
          <w:rFonts w:hint="eastAsia" w:ascii="宋体" w:hAnsi="宋体"/>
          <w:b w:val="0"/>
          <w:bCs/>
          <w:sz w:val="24"/>
          <w:szCs w:val="24"/>
        </w:rPr>
      </w:pPr>
      <w:r>
        <w:rPr>
          <w:rFonts w:hint="eastAsia" w:ascii="宋体" w:hAnsi="宋体"/>
          <w:b w:val="0"/>
          <w:bCs/>
          <w:sz w:val="24"/>
          <w:szCs w:val="24"/>
        </w:rPr>
        <w:t>供应商、联系人及电话（盖章）：</w:t>
      </w:r>
    </w:p>
    <w:p>
      <w:pPr>
        <w:tabs>
          <w:tab w:val="left" w:pos="6300"/>
        </w:tabs>
        <w:spacing w:line="300" w:lineRule="auto"/>
        <w:jc w:val="both"/>
        <w:rPr>
          <w:rFonts w:hint="eastAsia" w:ascii="宋体" w:hAnsi="宋体"/>
          <w:b w:val="0"/>
          <w:bCs/>
          <w:sz w:val="24"/>
          <w:szCs w:val="24"/>
        </w:rPr>
      </w:pPr>
      <w:r>
        <w:rPr>
          <w:rFonts w:hint="eastAsia" w:ascii="宋体" w:hAnsi="宋体"/>
          <w:b w:val="0"/>
          <w:bCs/>
          <w:sz w:val="24"/>
          <w:szCs w:val="24"/>
        </w:rPr>
        <w:t>产品品牌、型号、产地、注册证号及最低报价：</w:t>
      </w:r>
    </w:p>
    <w:p>
      <w:pPr>
        <w:jc w:val="both"/>
        <w:rPr>
          <w:rFonts w:hint="eastAsia" w:ascii="宋体" w:hAnsi="宋体"/>
          <w:b/>
          <w:sz w:val="28"/>
          <w:szCs w:val="28"/>
        </w:rPr>
      </w:pPr>
      <w:r>
        <w:rPr>
          <w:rFonts w:hint="eastAsia" w:ascii="宋体" w:hAnsi="宋体"/>
          <w:b w:val="0"/>
          <w:bCs/>
          <w:sz w:val="24"/>
          <w:szCs w:val="24"/>
        </w:rPr>
        <w:t>注：按要求格式填写并每页加盖公章，响应就写响应或无偏离，不响应请在响应情况一栏写出建议修改参数</w:t>
      </w:r>
    </w:p>
    <w:tbl>
      <w:tblPr>
        <w:tblStyle w:val="2"/>
        <w:tblpPr w:leftFromText="180" w:rightFromText="180" w:vertAnchor="text" w:horzAnchor="page" w:tblpX="1555" w:tblpY="279"/>
        <w:tblOverlap w:val="never"/>
        <w:tblW w:w="8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565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center"/>
          </w:tcPr>
          <w:p>
            <w:pPr>
              <w:jc w:val="center"/>
              <w:rPr>
                <w:szCs w:val="21"/>
              </w:rPr>
            </w:pPr>
            <w:bookmarkStart w:id="0" w:name="_GoBack"/>
            <w:bookmarkEnd w:id="0"/>
            <w:r>
              <w:rPr>
                <w:rFonts w:hAnsi="宋体"/>
                <w:szCs w:val="21"/>
              </w:rPr>
              <w:t>序号</w:t>
            </w:r>
          </w:p>
        </w:tc>
        <w:tc>
          <w:tcPr>
            <w:tcW w:w="5657" w:type="dxa"/>
            <w:noWrap w:val="0"/>
            <w:vAlign w:val="center"/>
          </w:tcPr>
          <w:p>
            <w:pPr>
              <w:jc w:val="center"/>
              <w:rPr>
                <w:rFonts w:hint="eastAsia" w:eastAsia="宋体"/>
                <w:szCs w:val="21"/>
                <w:lang w:eastAsia="zh-CN"/>
              </w:rPr>
            </w:pPr>
            <w:r>
              <w:rPr>
                <w:rFonts w:hAnsi="宋体"/>
                <w:szCs w:val="21"/>
              </w:rPr>
              <w:t>规格</w:t>
            </w:r>
            <w:r>
              <w:rPr>
                <w:rFonts w:hint="eastAsia" w:hAnsi="宋体"/>
                <w:szCs w:val="21"/>
                <w:lang w:eastAsia="zh-CN"/>
              </w:rPr>
              <w:t>要求</w:t>
            </w:r>
          </w:p>
        </w:tc>
        <w:tc>
          <w:tcPr>
            <w:tcW w:w="2013" w:type="dxa"/>
            <w:noWrap w:val="0"/>
            <w:vAlign w:val="center"/>
          </w:tcPr>
          <w:p>
            <w:pPr>
              <w:jc w:val="center"/>
              <w:rPr>
                <w:rFonts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center"/>
          </w:tcPr>
          <w:p>
            <w:pPr>
              <w:jc w:val="both"/>
              <w:rPr>
                <w:rFonts w:hint="eastAsia" w:hAnsi="宋体" w:eastAsia="宋体"/>
                <w:szCs w:val="21"/>
                <w:lang w:eastAsia="zh-CN"/>
              </w:rPr>
            </w:pPr>
            <w:r>
              <w:rPr>
                <w:rFonts w:hint="eastAsia" w:hAnsi="宋体"/>
                <w:szCs w:val="21"/>
                <w:lang w:eastAsia="zh-CN"/>
              </w:rPr>
              <w:t>数量：一台</w:t>
            </w:r>
          </w:p>
        </w:tc>
        <w:tc>
          <w:tcPr>
            <w:tcW w:w="2013" w:type="dxa"/>
            <w:noWrap w:val="0"/>
            <w:vAlign w:val="center"/>
          </w:tcPr>
          <w:p>
            <w:pPr>
              <w:jc w:val="both"/>
              <w:rPr>
                <w:rFonts w:hint="eastAsia" w:hAnsi="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center"/>
          </w:tcPr>
          <w:p>
            <w:pPr>
              <w:jc w:val="both"/>
              <w:rPr>
                <w:rFonts w:hint="default" w:hAnsi="宋体"/>
                <w:szCs w:val="21"/>
                <w:lang w:val="en-US" w:eastAsia="zh-CN"/>
              </w:rPr>
            </w:pPr>
            <w:r>
              <w:rPr>
                <w:rFonts w:hint="eastAsia" w:hAnsi="宋体"/>
                <w:szCs w:val="21"/>
                <w:lang w:eastAsia="zh-CN"/>
              </w:rPr>
              <w:t>显示屏</w:t>
            </w:r>
          </w:p>
        </w:tc>
        <w:tc>
          <w:tcPr>
            <w:tcW w:w="2013" w:type="dxa"/>
            <w:noWrap w:val="0"/>
            <w:vAlign w:val="center"/>
          </w:tcPr>
          <w:p>
            <w:pPr>
              <w:jc w:val="both"/>
              <w:rPr>
                <w:rFonts w:hint="eastAsia" w:hAnsi="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center"/>
          </w:tcPr>
          <w:p>
            <w:pPr>
              <w:jc w:val="both"/>
              <w:rPr>
                <w:rFonts w:hint="eastAsia" w:hAnsi="宋体"/>
                <w:szCs w:val="21"/>
                <w:lang w:eastAsia="zh-CN"/>
              </w:rPr>
            </w:pPr>
            <w:r>
              <w:rPr>
                <w:rFonts w:hint="eastAsia" w:hAnsi="宋体"/>
                <w:szCs w:val="21"/>
                <w:lang w:eastAsia="zh-CN"/>
              </w:rPr>
              <w:t>显示屏尺寸：</w:t>
            </w:r>
            <w:r>
              <w:rPr>
                <w:rFonts w:hint="default" w:ascii="Arial" w:hAnsi="Arial" w:cs="Arial"/>
                <w:szCs w:val="21"/>
                <w:lang w:eastAsia="zh-CN"/>
              </w:rPr>
              <w:t>≥</w:t>
            </w:r>
            <w:r>
              <w:rPr>
                <w:rFonts w:hint="eastAsia" w:hAnsi="宋体"/>
                <w:szCs w:val="21"/>
                <w:lang w:val="en-US" w:eastAsia="zh-CN"/>
              </w:rPr>
              <w:t>14英寸</w:t>
            </w:r>
          </w:p>
        </w:tc>
        <w:tc>
          <w:tcPr>
            <w:tcW w:w="2013" w:type="dxa"/>
            <w:noWrap w:val="0"/>
            <w:vAlign w:val="center"/>
          </w:tcPr>
          <w:p>
            <w:pPr>
              <w:jc w:val="both"/>
              <w:rPr>
                <w:rFonts w:hint="eastAsia" w:hAnsi="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center"/>
          </w:tcPr>
          <w:p>
            <w:pPr>
              <w:jc w:val="both"/>
              <w:rPr>
                <w:rFonts w:hint="eastAsia" w:hAnsi="宋体"/>
                <w:szCs w:val="21"/>
                <w:lang w:eastAsia="zh-CN"/>
              </w:rPr>
            </w:pPr>
            <w:r>
              <w:rPr>
                <w:rFonts w:hint="eastAsia" w:hAnsi="宋体"/>
                <w:szCs w:val="21"/>
                <w:lang w:eastAsia="zh-CN"/>
              </w:rPr>
              <w:t>显示屏材质：</w:t>
            </w:r>
            <w:r>
              <w:rPr>
                <w:rFonts w:hint="eastAsia" w:ascii="Arial" w:hAnsi="Arial" w:cs="Arial"/>
                <w:szCs w:val="21"/>
                <w:lang w:eastAsia="zh-CN"/>
              </w:rPr>
              <w:t>液晶</w:t>
            </w:r>
          </w:p>
        </w:tc>
        <w:tc>
          <w:tcPr>
            <w:tcW w:w="2013" w:type="dxa"/>
            <w:noWrap w:val="0"/>
            <w:vAlign w:val="center"/>
          </w:tcPr>
          <w:p>
            <w:pPr>
              <w:jc w:val="both"/>
              <w:rPr>
                <w:rFonts w:hint="eastAsia" w:hAnsi="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center"/>
          </w:tcPr>
          <w:p>
            <w:pPr>
              <w:numPr>
                <w:ilvl w:val="0"/>
                <w:numId w:val="1"/>
              </w:numPr>
              <w:ind w:left="425" w:leftChars="0" w:hanging="425" w:firstLineChars="0"/>
              <w:jc w:val="both"/>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center"/>
          </w:tcPr>
          <w:p>
            <w:pPr>
              <w:jc w:val="both"/>
              <w:rPr>
                <w:rFonts w:hint="eastAsia" w:hAnsi="宋体"/>
                <w:szCs w:val="21"/>
                <w:lang w:eastAsia="zh-CN"/>
              </w:rPr>
            </w:pPr>
            <w:r>
              <w:rPr>
                <w:rFonts w:hint="eastAsia" w:hAnsi="宋体"/>
                <w:szCs w:val="21"/>
                <w:lang w:eastAsia="zh-CN"/>
              </w:rPr>
              <w:t>显示屏显示内容：</w:t>
            </w:r>
            <w:r>
              <w:rPr>
                <w:rFonts w:hint="eastAsia" w:ascii="Arial" w:hAnsi="Arial" w:cs="Arial"/>
                <w:szCs w:val="21"/>
                <w:lang w:eastAsia="zh-CN"/>
              </w:rPr>
              <w:t>显示仪器操作功能，且可通过触摸屏幕操作</w:t>
            </w:r>
          </w:p>
        </w:tc>
        <w:tc>
          <w:tcPr>
            <w:tcW w:w="2013" w:type="dxa"/>
            <w:noWrap w:val="0"/>
            <w:vAlign w:val="center"/>
          </w:tcPr>
          <w:p>
            <w:pPr>
              <w:jc w:val="both"/>
              <w:rPr>
                <w:rFonts w:hint="eastAsia" w:hAnsi="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960" w:type="dxa"/>
            <w:tcBorders>
              <w:bottom w:val="single" w:color="auto" w:sz="4" w:space="0"/>
            </w:tcBorders>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tcBorders>
              <w:bottom w:val="single" w:color="auto" w:sz="4" w:space="0"/>
            </w:tcBorders>
            <w:noWrap w:val="0"/>
            <w:vAlign w:val="center"/>
          </w:tcPr>
          <w:p>
            <w:pPr>
              <w:rPr>
                <w:rFonts w:hint="eastAsia"/>
                <w:szCs w:val="21"/>
              </w:rPr>
            </w:pPr>
            <w:r>
              <w:rPr>
                <w:rFonts w:hint="eastAsia"/>
                <w:szCs w:val="21"/>
              </w:rPr>
              <w:t>设备用途说明及要求：</w:t>
            </w:r>
          </w:p>
        </w:tc>
        <w:tc>
          <w:tcPr>
            <w:tcW w:w="2013" w:type="dxa"/>
            <w:tcBorders>
              <w:bottom w:val="single" w:color="auto" w:sz="4" w:space="0"/>
            </w:tcBorders>
            <w:noWrap w:val="0"/>
            <w:vAlign w:val="center"/>
          </w:tcPr>
          <w:p>
            <w:pP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960" w:type="dxa"/>
            <w:tcBorders>
              <w:top w:val="single" w:color="auto" w:sz="4" w:space="0"/>
              <w:bottom w:val="single" w:color="auto" w:sz="4" w:space="0"/>
            </w:tcBorders>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tcBorders>
              <w:top w:val="single" w:color="auto" w:sz="4" w:space="0"/>
              <w:bottom w:val="single" w:color="auto" w:sz="4" w:space="0"/>
            </w:tcBorders>
            <w:noWrap w:val="0"/>
            <w:vAlign w:val="center"/>
          </w:tcPr>
          <w:p>
            <w:pPr>
              <w:rPr>
                <w:rFonts w:hint="eastAsia"/>
                <w:color w:val="000000"/>
                <w:szCs w:val="21"/>
              </w:rPr>
            </w:pPr>
            <w:r>
              <w:rPr>
                <w:rFonts w:hint="eastAsia"/>
                <w:color w:val="000000"/>
                <w:szCs w:val="21"/>
              </w:rPr>
              <w:t>支持颅内外血管常规检测、血栓分析及长程监护等功能</w:t>
            </w:r>
          </w:p>
        </w:tc>
        <w:tc>
          <w:tcPr>
            <w:tcW w:w="2013" w:type="dxa"/>
            <w:tcBorders>
              <w:top w:val="single" w:color="auto" w:sz="4" w:space="0"/>
              <w:bottom w:val="single" w:color="auto" w:sz="4" w:space="0"/>
            </w:tcBorders>
            <w:noWrap w:val="0"/>
            <w:vAlign w:val="center"/>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960" w:type="dxa"/>
            <w:tcBorders>
              <w:top w:val="single" w:color="auto" w:sz="4" w:space="0"/>
              <w:bottom w:val="single" w:color="auto" w:sz="4" w:space="0"/>
            </w:tcBorders>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tcBorders>
              <w:top w:val="single" w:color="auto" w:sz="4" w:space="0"/>
              <w:bottom w:val="single" w:color="auto" w:sz="4" w:space="0"/>
            </w:tcBorders>
            <w:noWrap w:val="0"/>
            <w:vAlign w:val="center"/>
          </w:tcPr>
          <w:p>
            <w:pPr>
              <w:rPr>
                <w:rFonts w:hint="default" w:eastAsia="宋体"/>
                <w:color w:val="000000"/>
                <w:szCs w:val="21"/>
                <w:lang w:val="en-US" w:eastAsia="zh-CN"/>
              </w:rPr>
            </w:pPr>
            <w:r>
              <w:rPr>
                <w:rFonts w:hint="eastAsia"/>
                <w:color w:val="000000"/>
                <w:szCs w:val="21"/>
                <w:lang w:val="en-US" w:eastAsia="zh-CN"/>
              </w:rPr>
              <w:t>用于颈内动脉剥脱术（CEA）、烟雾病搭桥术、动脉瘤术中监测</w:t>
            </w:r>
            <w:r>
              <w:rPr>
                <w:rFonts w:hint="eastAsia" w:ascii="宋体" w:hAnsi="宋体"/>
                <w:bCs/>
                <w:szCs w:val="21"/>
                <w:lang w:val="en-US" w:eastAsia="zh-CN"/>
              </w:rPr>
              <w:t>、颅内颅外搭桥术等颅内外血管疾患术中颅内血流和颅内血管</w:t>
            </w:r>
          </w:p>
        </w:tc>
        <w:tc>
          <w:tcPr>
            <w:tcW w:w="2013" w:type="dxa"/>
            <w:tcBorders>
              <w:top w:val="single" w:color="auto" w:sz="4" w:space="0"/>
              <w:bottom w:val="single" w:color="auto" w:sz="4" w:space="0"/>
            </w:tcBorders>
            <w:noWrap w:val="0"/>
            <w:vAlign w:val="center"/>
          </w:tcPr>
          <w:p>
            <w:pPr>
              <w:rPr>
                <w:rFonts w:hint="eastAsia"/>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960" w:type="dxa"/>
            <w:tcBorders>
              <w:top w:val="single" w:color="auto" w:sz="4" w:space="0"/>
            </w:tcBorders>
            <w:noWrap w:val="0"/>
            <w:vAlign w:val="center"/>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tcBorders>
              <w:top w:val="single" w:color="auto" w:sz="4" w:space="0"/>
            </w:tcBorders>
            <w:noWrap w:val="0"/>
            <w:vAlign w:val="center"/>
          </w:tcPr>
          <w:p>
            <w:pPr>
              <w:rPr>
                <w:rFonts w:hint="eastAsia" w:eastAsia="宋体"/>
                <w:color w:val="000000"/>
                <w:szCs w:val="21"/>
                <w:lang w:eastAsia="zh-CN"/>
              </w:rPr>
            </w:pPr>
            <w:r>
              <w:rPr>
                <w:rFonts w:hint="eastAsia"/>
                <w:color w:val="000000"/>
                <w:szCs w:val="21"/>
              </w:rPr>
              <w:t>设备通过CE、FDA等权威认证</w:t>
            </w:r>
            <w:r>
              <w:rPr>
                <w:rFonts w:hint="eastAsia"/>
                <w:color w:val="000000"/>
                <w:szCs w:val="21"/>
                <w:lang w:eastAsia="zh-CN"/>
              </w:rPr>
              <w:t>（</w:t>
            </w:r>
            <w:r>
              <w:rPr>
                <w:rFonts w:hint="eastAsia"/>
                <w:color w:val="000000"/>
                <w:szCs w:val="21"/>
                <w:lang w:val="en-US" w:eastAsia="zh-CN"/>
              </w:rPr>
              <w:t>提供证明</w:t>
            </w:r>
            <w:r>
              <w:rPr>
                <w:rFonts w:hint="eastAsia"/>
                <w:color w:val="000000"/>
                <w:szCs w:val="21"/>
                <w:lang w:eastAsia="zh-CN"/>
              </w:rPr>
              <w:t>）</w:t>
            </w:r>
          </w:p>
        </w:tc>
        <w:tc>
          <w:tcPr>
            <w:tcW w:w="2013" w:type="dxa"/>
            <w:tcBorders>
              <w:top w:val="single" w:color="auto" w:sz="4" w:space="0"/>
            </w:tcBorders>
            <w:noWrap w:val="0"/>
            <w:vAlign w:val="center"/>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技术参数：</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通道和门深：双通道八深度</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发射功率：</w:t>
            </w:r>
            <w:r>
              <w:rPr>
                <w:color w:val="000000"/>
                <w:szCs w:val="21"/>
              </w:rPr>
              <w:t>0-512</w:t>
            </w:r>
            <w:r>
              <w:rPr>
                <w:rFonts w:hint="eastAsia"/>
                <w:color w:val="000000"/>
                <w:szCs w:val="21"/>
                <w:lang w:val="en-US" w:eastAsia="zh-CN"/>
              </w:rPr>
              <w:t>mW</w:t>
            </w:r>
            <w:r>
              <w:rPr>
                <w:rFonts w:hint="eastAsia"/>
                <w:color w:val="000000"/>
                <w:szCs w:val="21"/>
              </w:rPr>
              <w:t>可调</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增益范围：</w:t>
            </w:r>
            <w:r>
              <w:rPr>
                <w:color w:val="000000"/>
                <w:szCs w:val="21"/>
              </w:rPr>
              <w:t>1-40dB</w:t>
            </w:r>
            <w:r>
              <w:rPr>
                <w:rFonts w:hint="eastAsia"/>
                <w:color w:val="000000"/>
                <w:szCs w:val="21"/>
              </w:rPr>
              <w:t>；</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采样容积：1</w:t>
            </w:r>
            <w:r>
              <w:rPr>
                <w:color w:val="000000"/>
                <w:szCs w:val="21"/>
              </w:rPr>
              <w:t>-20mm</w:t>
            </w:r>
            <w:r>
              <w:rPr>
                <w:rFonts w:hint="eastAsia"/>
                <w:color w:val="000000"/>
                <w:szCs w:val="21"/>
              </w:rPr>
              <w:t>连续可调</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color w:val="000000"/>
                <w:szCs w:val="21"/>
              </w:rPr>
            </w:pPr>
            <w:r>
              <w:rPr>
                <w:color w:val="000000"/>
                <w:szCs w:val="21"/>
              </w:rPr>
              <w:t>PW</w:t>
            </w:r>
            <w:r>
              <w:rPr>
                <w:rFonts w:hint="eastAsia"/>
                <w:color w:val="000000"/>
                <w:szCs w:val="21"/>
              </w:rPr>
              <w:t>探测深度调节：</w:t>
            </w:r>
            <w:r>
              <w:rPr>
                <w:color w:val="000000"/>
                <w:szCs w:val="21"/>
              </w:rPr>
              <w:t>5-134mm</w:t>
            </w:r>
            <w:r>
              <w:rPr>
                <w:rFonts w:hint="eastAsia"/>
                <w:color w:val="000000"/>
                <w:szCs w:val="21"/>
              </w:rPr>
              <w:t>；</w:t>
            </w:r>
          </w:p>
        </w:tc>
        <w:tc>
          <w:tcPr>
            <w:tcW w:w="2013" w:type="dxa"/>
            <w:noWrap w:val="0"/>
            <w:vAlign w:val="top"/>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60" w:type="dxa"/>
            <w:noWrap w:val="0"/>
            <w:vAlign w:val="top"/>
          </w:tcPr>
          <w:p>
            <w:pPr>
              <w:numPr>
                <w:ilvl w:val="0"/>
                <w:numId w:val="1"/>
              </w:numPr>
              <w:tabs>
                <w:tab w:val="left" w:pos="331"/>
              </w:tabs>
              <w:ind w:left="425" w:leftChars="0" w:hanging="425" w:firstLineChars="0"/>
              <w:jc w:val="left"/>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default" w:eastAsia="宋体"/>
                <w:color w:val="000000"/>
                <w:sz w:val="21"/>
                <w:szCs w:val="21"/>
                <w:lang w:val="en-US" w:eastAsia="zh-CN"/>
              </w:rPr>
            </w:pPr>
            <w:r>
              <w:rPr>
                <w:rFonts w:hint="eastAsia" w:ascii="宋体" w:hAnsi="宋体"/>
                <w:sz w:val="21"/>
                <w:szCs w:val="21"/>
              </w:rPr>
              <w:t>FFT</w:t>
            </w:r>
            <w:r>
              <w:rPr>
                <w:rFonts w:hint="eastAsia" w:ascii="宋体" w:hAnsi="宋体"/>
                <w:sz w:val="21"/>
                <w:szCs w:val="21"/>
                <w:lang w:eastAsia="zh-CN"/>
              </w:rPr>
              <w:t>：</w:t>
            </w:r>
            <w:r>
              <w:rPr>
                <w:rFonts w:hint="eastAsia" w:ascii="宋体" w:hAnsi="宋体"/>
                <w:sz w:val="21"/>
                <w:szCs w:val="21"/>
                <w:lang w:val="en-US" w:eastAsia="zh-CN"/>
              </w:rPr>
              <w:t>64、128、</w:t>
            </w:r>
            <w:r>
              <w:rPr>
                <w:rFonts w:hint="eastAsia" w:ascii="宋体" w:hAnsi="宋体"/>
                <w:sz w:val="21"/>
                <w:szCs w:val="21"/>
              </w:rPr>
              <w:t>256</w:t>
            </w:r>
            <w:r>
              <w:rPr>
                <w:rFonts w:hint="eastAsia" w:ascii="宋体" w:hAnsi="宋体"/>
                <w:sz w:val="21"/>
                <w:szCs w:val="21"/>
                <w:lang w:eastAsia="zh-CN"/>
              </w:rPr>
              <w:t>、</w:t>
            </w:r>
            <w:r>
              <w:rPr>
                <w:rFonts w:hint="eastAsia" w:ascii="宋体" w:hAnsi="宋体"/>
                <w:sz w:val="21"/>
                <w:szCs w:val="21"/>
                <w:lang w:val="en-US" w:eastAsia="zh-CN"/>
              </w:rPr>
              <w:t>512点</w:t>
            </w:r>
          </w:p>
        </w:tc>
        <w:tc>
          <w:tcPr>
            <w:tcW w:w="2013" w:type="dxa"/>
            <w:noWrap w:val="0"/>
            <w:vAlign w:val="top"/>
          </w:tcPr>
          <w:p>
            <w:pPr>
              <w:rPr>
                <w:rFonts w:hint="eastAsia"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60" w:type="dxa"/>
            <w:noWrap w:val="0"/>
            <w:vAlign w:val="top"/>
          </w:tcPr>
          <w:p>
            <w:pPr>
              <w:numPr>
                <w:ilvl w:val="0"/>
                <w:numId w:val="1"/>
              </w:numPr>
              <w:tabs>
                <w:tab w:val="left" w:pos="331"/>
              </w:tabs>
              <w:ind w:left="425" w:leftChars="0" w:hanging="425" w:firstLineChars="0"/>
              <w:jc w:val="left"/>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深度调节步长：1mm、2mm、3mm、5mm</w:t>
            </w:r>
          </w:p>
        </w:tc>
        <w:tc>
          <w:tcPr>
            <w:tcW w:w="2013" w:type="dxa"/>
            <w:noWrap w:val="0"/>
            <w:vAlign w:val="top"/>
          </w:tcPr>
          <w:p>
            <w:pPr>
              <w:rPr>
                <w:rFonts w:hint="eastAsia" w:ascii="宋体" w:hAnsi="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常规检测及软件功能：</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color w:val="000000"/>
                <w:szCs w:val="21"/>
              </w:rPr>
              <w:t>常规检测模式能够支持同步8深度频谱多普勒显示，并且可以任意选择显示深度内血流频谱及相关检测参数等</w:t>
            </w:r>
          </w:p>
        </w:tc>
        <w:tc>
          <w:tcPr>
            <w:tcW w:w="2013" w:type="dxa"/>
            <w:noWrap w:val="0"/>
            <w:vAlign w:val="top"/>
          </w:tcPr>
          <w:p>
            <w:pP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在实时检测或监测过程中可以进行频谱的回放并完成血流频谱的储存功能，利于异常的数据记录分析</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频谱保存（快照功能）不仅可以记录分析血流动力学参数，同时对于引起脑血流动力学异常的相关影响因素，可以手动添加事件标注；利于后期分析处理</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频谱图像可以同时进行双向参数计算、显示</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自定义检测血管序列，对于存储过的血管可以自动标示</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一键报告功能，避免繁琐操作，快速完成报诊断报告</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rPr>
              <w:t>检测参数：Vs、Vd、Vm、PI、RI、S/D、HR、SBI、HITS、TI、Lindegaard指数</w:t>
            </w:r>
          </w:p>
        </w:tc>
        <w:tc>
          <w:tcPr>
            <w:tcW w:w="2013" w:type="dxa"/>
            <w:noWrap w:val="0"/>
            <w:vAlign w:val="top"/>
          </w:tcPr>
          <w:p>
            <w:pPr>
              <w:rPr>
                <w:rFonts w:hint="eastAsia" w:ascii="宋体" w:hAnsi="宋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动态</w:t>
            </w:r>
            <w:r>
              <w:rPr>
                <w:rFonts w:hint="eastAsia" w:ascii="宋体" w:hAnsi="宋体"/>
                <w:bCs/>
                <w:color w:val="000000"/>
                <w:szCs w:val="21"/>
              </w:rPr>
              <w:t>M波</w:t>
            </w:r>
            <w:r>
              <w:rPr>
                <w:rFonts w:hint="eastAsia" w:ascii="宋体" w:hAnsi="宋体"/>
                <w:bCs/>
                <w:color w:val="000000"/>
                <w:szCs w:val="21"/>
                <w:lang w:val="zh-CN"/>
              </w:rPr>
              <w:t>：可以实现每1mm间隔的血流信息均可以记录、回放、测量；对于栓子的运动轨迹、锁骨下盗血、发泡实验具有特异性效果</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ascii="宋体" w:hAnsi="宋体"/>
                <w:bCs/>
                <w:color w:val="000000"/>
                <w:szCs w:val="21"/>
                <w:lang w:val="zh-CN"/>
              </w:rPr>
            </w:pPr>
            <w:r>
              <w:rPr>
                <w:rFonts w:hint="eastAsia" w:ascii="宋体" w:hAnsi="宋体"/>
                <w:bCs/>
                <w:color w:val="000000"/>
                <w:szCs w:val="21"/>
              </w:rPr>
              <w:t>用资源管理器在目录下可以直接看到以病人名为文件夹内的图谱及WORD诊断报告，便于后期查询使用</w:t>
            </w:r>
          </w:p>
        </w:tc>
        <w:tc>
          <w:tcPr>
            <w:tcW w:w="2013" w:type="dxa"/>
            <w:noWrap w:val="0"/>
            <w:vAlign w:val="top"/>
          </w:tcPr>
          <w:p>
            <w:pPr>
              <w:rPr>
                <w:rFonts w:hint="eastAsia" w:ascii="宋体" w:hAnsi="宋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autoSpaceDE w:val="0"/>
              <w:autoSpaceDN w:val="0"/>
              <w:ind w:right="40"/>
              <w:rPr>
                <w:rFonts w:hint="eastAsia" w:ascii="宋体" w:hAnsi="宋体"/>
                <w:bCs/>
                <w:color w:val="000000"/>
                <w:sz w:val="24"/>
                <w:szCs w:val="21"/>
              </w:rPr>
            </w:pPr>
            <w:r>
              <w:rPr>
                <w:rFonts w:hint="eastAsia" w:ascii="宋体" w:hAnsi="宋体"/>
                <w:bCs/>
                <w:color w:val="000000"/>
                <w:szCs w:val="21"/>
              </w:rPr>
              <w:t>存储频谱数据可以AVI动态视频文件格式输出，任何电脑上回放，无需特殊转化软件，方便教学及技术交流。</w:t>
            </w:r>
          </w:p>
          <w:p>
            <w:pPr>
              <w:rPr>
                <w:rFonts w:hint="eastAsia" w:ascii="宋体" w:hAnsi="宋体"/>
                <w:bCs/>
                <w:color w:val="000000"/>
                <w:szCs w:val="21"/>
              </w:rPr>
            </w:pPr>
          </w:p>
        </w:tc>
        <w:tc>
          <w:tcPr>
            <w:tcW w:w="2013" w:type="dxa"/>
            <w:noWrap w:val="0"/>
            <w:vAlign w:val="top"/>
          </w:tcPr>
          <w:p>
            <w:pPr>
              <w:rPr>
                <w:rFonts w:hint="eastAsia" w:ascii="宋体" w:hAnsi="宋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ascii="宋体" w:hAnsi="宋体"/>
                <w:bCs/>
                <w:color w:val="000000"/>
                <w:szCs w:val="21"/>
              </w:rPr>
            </w:pPr>
            <w:r>
              <w:rPr>
                <w:rFonts w:hint="eastAsia" w:ascii="宋体" w:hAnsi="宋体"/>
                <w:bCs/>
                <w:color w:val="000000"/>
                <w:szCs w:val="21"/>
              </w:rPr>
              <w:t>具备常规图文报告功能 ，</w:t>
            </w:r>
            <w:r>
              <w:rPr>
                <w:rFonts w:hint="eastAsia" w:ascii="宋体" w:hAnsi="宋体"/>
                <w:color w:val="000000"/>
                <w:szCs w:val="21"/>
              </w:rPr>
              <w:t>支持WORD、PDF、XLS（excel）、BMP、JPG等报告、图谱和数据输出形式</w:t>
            </w:r>
          </w:p>
        </w:tc>
        <w:tc>
          <w:tcPr>
            <w:tcW w:w="2013" w:type="dxa"/>
            <w:noWrap w:val="0"/>
            <w:vAlign w:val="top"/>
          </w:tcPr>
          <w:p>
            <w:pPr>
              <w:rPr>
                <w:rFonts w:hint="eastAsia" w:ascii="宋体" w:hAnsi="宋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ascii="宋体" w:hAnsi="宋体"/>
                <w:bCs/>
                <w:color w:val="000000"/>
                <w:szCs w:val="21"/>
                <w:lang w:val="zh-CN"/>
              </w:rPr>
            </w:pPr>
            <w:r>
              <w:rPr>
                <w:rFonts w:hint="eastAsia"/>
                <w:color w:val="000000"/>
                <w:szCs w:val="21"/>
              </w:rPr>
              <w:t>对于手术或是支架的术中、术后监护时，具有专门评价血流灌注的参数Delta Mean可以预防低灌注或是过度灌注</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szCs w:val="21"/>
              </w:rPr>
              <w:t>通过</w:t>
            </w:r>
            <w:r>
              <w:rPr>
                <w:rFonts w:hint="eastAsia" w:ascii="宋体" w:hAnsi="宋体"/>
                <w:bCs/>
                <w:szCs w:val="21"/>
                <w:lang w:val="zh-CN"/>
              </w:rPr>
              <w:t>对于监护曲线的压缩比可以直接选择、直观调节合适的时间范围进行监测</w:t>
            </w:r>
          </w:p>
        </w:tc>
        <w:tc>
          <w:tcPr>
            <w:tcW w:w="2013" w:type="dxa"/>
            <w:noWrap w:val="0"/>
            <w:vAlign w:val="top"/>
          </w:tcPr>
          <w:p>
            <w:pPr>
              <w:rPr>
                <w:rFonts w:hint="eastAsia"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ascii="宋体" w:hAnsi="宋体"/>
                <w:bCs/>
                <w:color w:val="000000"/>
                <w:szCs w:val="21"/>
                <w:lang w:val="zh-CN"/>
              </w:rPr>
            </w:pPr>
            <w:r>
              <w:rPr>
                <w:rFonts w:hint="eastAsia" w:ascii="宋体" w:hAnsi="宋体"/>
                <w:bCs/>
                <w:color w:val="000000"/>
                <w:szCs w:val="21"/>
              </w:rPr>
              <w:t>具备微栓子监测功能，包括声谱图、</w:t>
            </w:r>
            <w:r>
              <w:rPr>
                <w:rFonts w:hint="eastAsia" w:ascii="宋体" w:hAnsi="宋体"/>
                <w:bCs/>
                <w:color w:val="000000"/>
                <w:szCs w:val="21"/>
                <w:lang w:val="zh-CN"/>
              </w:rPr>
              <w:t>栓子直方图的定量化分析指标，可以直观显示微栓子、伪差信号的分布情况</w:t>
            </w:r>
          </w:p>
        </w:tc>
        <w:tc>
          <w:tcPr>
            <w:tcW w:w="2013" w:type="dxa"/>
            <w:noWrap w:val="0"/>
            <w:vAlign w:val="top"/>
          </w:tcPr>
          <w:p>
            <w:pPr>
              <w:rPr>
                <w:rFonts w:hint="eastAsia" w:ascii="宋体" w:hAnsi="宋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ascii="宋体" w:hAnsi="宋体" w:eastAsia="宋体"/>
                <w:bCs/>
                <w:color w:val="000000"/>
                <w:sz w:val="21"/>
                <w:szCs w:val="21"/>
                <w:lang w:val="en-US" w:eastAsia="zh-CN"/>
              </w:rPr>
            </w:pPr>
            <w:r>
              <w:rPr>
                <w:rFonts w:hint="eastAsia" w:ascii="宋体" w:hAnsi="宋体"/>
                <w:bCs/>
                <w:color w:val="000000"/>
                <w:sz w:val="21"/>
                <w:szCs w:val="21"/>
                <w:lang w:val="en-US" w:eastAsia="zh-CN"/>
              </w:rPr>
              <w:t>发泡试验软件具有</w:t>
            </w:r>
            <w:r>
              <w:rPr>
                <w:rFonts w:hint="eastAsia" w:ascii="宋体" w:hAnsi="宋体" w:eastAsia="宋体" w:cs="宋体"/>
                <w:b w:val="0"/>
                <w:bCs w:val="0"/>
                <w:sz w:val="21"/>
                <w:szCs w:val="21"/>
              </w:rPr>
              <w:t>语音实时指导医生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护士</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患者协调与统一的按照标准化执行操作检查等，并对流量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PFO</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进行自动化分级</w:t>
            </w:r>
            <w:r>
              <w:rPr>
                <w:rFonts w:hint="eastAsia" w:ascii="宋体" w:hAnsi="宋体" w:eastAsia="宋体" w:cs="宋体"/>
                <w:b w:val="0"/>
                <w:bCs w:val="0"/>
                <w:sz w:val="21"/>
                <w:szCs w:val="21"/>
                <w:lang w:val="en-US" w:eastAsia="zh-CN"/>
              </w:rPr>
              <w:t>大小</w:t>
            </w:r>
            <w:r>
              <w:rPr>
                <w:rFonts w:hint="eastAsia" w:ascii="宋体" w:hAnsi="宋体"/>
                <w:bCs/>
                <w:color w:val="000000"/>
                <w:sz w:val="21"/>
                <w:szCs w:val="21"/>
                <w:lang w:val="en-US" w:eastAsia="zh-CN"/>
              </w:rPr>
              <w:t>（附截图）</w:t>
            </w:r>
          </w:p>
        </w:tc>
        <w:tc>
          <w:tcPr>
            <w:tcW w:w="2013" w:type="dxa"/>
            <w:noWrap w:val="0"/>
            <w:vAlign w:val="top"/>
          </w:tcPr>
          <w:p>
            <w:pPr>
              <w:rPr>
                <w:rFonts w:hint="eastAsia" w:ascii="宋体" w:hAnsi="宋体"/>
                <w:bCs/>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ascii="宋体" w:hAnsi="宋体"/>
                <w:bCs/>
                <w:color w:val="000000"/>
                <w:szCs w:val="21"/>
                <w:lang w:val="zh-CN"/>
              </w:rPr>
            </w:pPr>
            <w:r>
              <w:rPr>
                <w:rFonts w:hint="eastAsia" w:ascii="宋体" w:hAnsi="宋体"/>
                <w:bCs/>
                <w:color w:val="000000"/>
                <w:szCs w:val="21"/>
                <w:lang w:val="zh-CN"/>
              </w:rPr>
              <w:t>双通道监护</w:t>
            </w:r>
            <w:r>
              <w:rPr>
                <w:rFonts w:hint="eastAsia" w:ascii="宋体" w:hAnsi="宋体"/>
                <w:bCs/>
                <w:color w:val="000000"/>
                <w:szCs w:val="21"/>
                <w:lang w:val="en-US" w:eastAsia="zh-CN"/>
              </w:rPr>
              <w:t>时，左右两个通道</w:t>
            </w:r>
            <w:r>
              <w:rPr>
                <w:rFonts w:hint="eastAsia" w:ascii="宋体" w:hAnsi="宋体"/>
                <w:bCs/>
                <w:color w:val="000000"/>
                <w:szCs w:val="21"/>
                <w:lang w:val="zh-CN"/>
              </w:rPr>
              <w:t>速度量程能单独</w:t>
            </w:r>
            <w:r>
              <w:rPr>
                <w:rFonts w:hint="eastAsia" w:ascii="宋体" w:hAnsi="宋体"/>
                <w:bCs/>
                <w:color w:val="000000"/>
                <w:szCs w:val="21"/>
                <w:lang w:val="en-US" w:eastAsia="zh-CN"/>
              </w:rPr>
              <w:t>设置</w:t>
            </w:r>
            <w:r>
              <w:rPr>
                <w:rFonts w:hint="eastAsia" w:ascii="宋体" w:hAnsi="宋体"/>
                <w:bCs/>
                <w:color w:val="000000"/>
                <w:szCs w:val="21"/>
                <w:lang w:val="zh-CN"/>
              </w:rPr>
              <w:t>，可以显示一侧异常（高流速）和一侧正常的双侧循环情况</w:t>
            </w:r>
            <w:r>
              <w:rPr>
                <w:rFonts w:hint="eastAsia" w:ascii="宋体" w:hAnsi="宋体"/>
                <w:bCs/>
                <w:color w:val="000000"/>
                <w:szCs w:val="21"/>
              </w:rPr>
              <w:t>.适用于CEA手术等</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5657" w:type="dxa"/>
            <w:noWrap w:val="0"/>
            <w:vAlign w:val="top"/>
          </w:tcPr>
          <w:p>
            <w:pPr>
              <w:rPr>
                <w:rFonts w:hint="eastAsia" w:ascii="宋体" w:hAnsi="宋体"/>
                <w:bCs/>
                <w:color w:val="000000"/>
                <w:szCs w:val="21"/>
                <w:lang w:val="zh-CN"/>
              </w:rPr>
            </w:pPr>
            <w:r>
              <w:rPr>
                <w:rFonts w:hint="eastAsia" w:ascii="宋体" w:hAnsi="宋体"/>
                <w:bCs/>
                <w:szCs w:val="21"/>
              </w:rPr>
              <w:t>具备DICOM3.0网络接口，可连接医院网络系统，利于数据的传输与管理</w:t>
            </w:r>
          </w:p>
        </w:tc>
        <w:tc>
          <w:tcPr>
            <w:tcW w:w="2013" w:type="dxa"/>
            <w:noWrap w:val="0"/>
            <w:vAlign w:val="top"/>
          </w:tcPr>
          <w:p>
            <w:pPr>
              <w:rPr>
                <w:rFonts w:hint="eastAsia"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p>
        </w:tc>
        <w:tc>
          <w:tcPr>
            <w:tcW w:w="5657" w:type="dxa"/>
            <w:noWrap w:val="0"/>
            <w:vAlign w:val="top"/>
          </w:tcPr>
          <w:p>
            <w:pPr>
              <w:rPr>
                <w:rFonts w:hint="eastAsia" w:ascii="宋体" w:hAnsi="宋体"/>
                <w:bCs/>
                <w:szCs w:val="21"/>
              </w:rPr>
            </w:pPr>
            <w:r>
              <w:rPr>
                <w:rFonts w:hint="eastAsia" w:ascii="宋体" w:hAnsi="宋体"/>
                <w:bCs/>
                <w:szCs w:val="21"/>
              </w:rPr>
              <w:t>血流趋势图：可以输出同1患者7天血流速度变化趋势图，特别是针对珠网膜下腔出血后脑血管痉挛的监测</w:t>
            </w:r>
          </w:p>
        </w:tc>
        <w:tc>
          <w:tcPr>
            <w:tcW w:w="2013" w:type="dxa"/>
            <w:noWrap w:val="0"/>
            <w:vAlign w:val="top"/>
          </w:tcPr>
          <w:p>
            <w:pPr>
              <w:rPr>
                <w:rFonts w:hint="eastAsia"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5657" w:type="dxa"/>
            <w:noWrap w:val="0"/>
            <w:vAlign w:val="top"/>
          </w:tcPr>
          <w:p>
            <w:pPr>
              <w:rPr>
                <w:rFonts w:hint="eastAsia" w:ascii="宋体" w:hAnsi="宋体"/>
                <w:bCs/>
                <w:szCs w:val="21"/>
              </w:rPr>
            </w:pPr>
            <w:r>
              <w:rPr>
                <w:rFonts w:hint="eastAsia" w:ascii="宋体" w:hAnsi="宋体"/>
                <w:bCs/>
                <w:szCs w:val="21"/>
                <w:lang w:val="zh-CN"/>
              </w:rPr>
              <w:t>可以根据</w:t>
            </w:r>
            <w:r>
              <w:rPr>
                <w:rFonts w:hint="eastAsia" w:ascii="宋体" w:hAnsi="宋体"/>
                <w:bCs/>
                <w:szCs w:val="21"/>
              </w:rPr>
              <w:t>CEA手术或其他类型术中进程等</w:t>
            </w:r>
            <w:r>
              <w:rPr>
                <w:rFonts w:hint="eastAsia" w:ascii="宋体" w:hAnsi="宋体"/>
                <w:bCs/>
                <w:szCs w:val="21"/>
                <w:lang w:val="zh-CN"/>
              </w:rPr>
              <w:t>自定义标记；以记录术中不同阶段血流动力学或微栓子产生的客观信息</w:t>
            </w:r>
          </w:p>
        </w:tc>
        <w:tc>
          <w:tcPr>
            <w:tcW w:w="2013" w:type="dxa"/>
            <w:noWrap w:val="0"/>
            <w:vAlign w:val="top"/>
          </w:tcPr>
          <w:p>
            <w:pPr>
              <w:rPr>
                <w:rFonts w:hint="eastAsia" w:ascii="宋体" w:hAnsi="宋体"/>
                <w:bCs/>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5657" w:type="dxa"/>
            <w:noWrap w:val="0"/>
            <w:vAlign w:val="top"/>
          </w:tcPr>
          <w:p>
            <w:pPr>
              <w:rPr>
                <w:rFonts w:hint="eastAsia" w:ascii="宋体" w:hAnsi="宋体"/>
                <w:bCs/>
                <w:szCs w:val="21"/>
                <w:lang w:val="zh-CN"/>
              </w:rPr>
            </w:pPr>
            <w:r>
              <w:rPr>
                <w:rFonts w:hint="eastAsia" w:ascii="宋体" w:hAnsi="宋体"/>
                <w:bCs/>
                <w:szCs w:val="21"/>
                <w:lang w:val="zh-CN"/>
              </w:rPr>
              <w:t>探头基本配置及规格</w:t>
            </w:r>
          </w:p>
        </w:tc>
        <w:tc>
          <w:tcPr>
            <w:tcW w:w="2013" w:type="dxa"/>
            <w:noWrap w:val="0"/>
            <w:vAlign w:val="top"/>
          </w:tcPr>
          <w:p>
            <w:pPr>
              <w:rPr>
                <w:rFonts w:hint="eastAsia" w:ascii="宋体" w:hAnsi="宋体"/>
                <w:bCs/>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5657" w:type="dxa"/>
            <w:noWrap w:val="0"/>
            <w:vAlign w:val="top"/>
          </w:tcPr>
          <w:p>
            <w:pPr>
              <w:rPr>
                <w:rFonts w:hint="default" w:ascii="宋体" w:hAnsi="宋体" w:eastAsia="宋体"/>
                <w:bCs/>
                <w:szCs w:val="21"/>
                <w:lang w:val="en-US" w:eastAsia="zh-CN"/>
              </w:rPr>
            </w:pPr>
            <w:r>
              <w:rPr>
                <w:rFonts w:hint="eastAsia" w:ascii="宋体" w:hAnsi="宋体"/>
                <w:bCs/>
                <w:szCs w:val="21"/>
                <w:lang w:val="zh-CN"/>
              </w:rPr>
              <w:t>手持探头</w:t>
            </w:r>
            <w:r>
              <w:rPr>
                <w:rFonts w:hint="default" w:ascii="Arial" w:hAnsi="Arial" w:cs="Arial"/>
                <w:szCs w:val="21"/>
                <w:lang w:eastAsia="zh-CN"/>
              </w:rPr>
              <w:t>≥</w:t>
            </w:r>
            <w:r>
              <w:rPr>
                <w:rFonts w:hint="eastAsia" w:ascii="Arial" w:hAnsi="Arial" w:cs="Arial"/>
                <w:szCs w:val="21"/>
                <w:lang w:val="en-US" w:eastAsia="zh-CN"/>
              </w:rPr>
              <w:t>1.5</w:t>
            </w:r>
            <w:r>
              <w:rPr>
                <w:rFonts w:hint="eastAsia"/>
                <w:bCs/>
                <w:color w:val="000000"/>
                <w:szCs w:val="21"/>
              </w:rPr>
              <w:t>MHz</w:t>
            </w:r>
            <w:r>
              <w:rPr>
                <w:rFonts w:hint="eastAsia"/>
                <w:bCs/>
                <w:color w:val="000000"/>
                <w:szCs w:val="21"/>
                <w:lang w:eastAsia="zh-CN"/>
              </w:rPr>
              <w:t>及</w:t>
            </w:r>
            <w:r>
              <w:rPr>
                <w:rFonts w:hint="default" w:ascii="Arial" w:hAnsi="Arial" w:cs="Arial"/>
                <w:szCs w:val="21"/>
                <w:lang w:eastAsia="zh-CN"/>
              </w:rPr>
              <w:t>≥</w:t>
            </w:r>
            <w:r>
              <w:rPr>
                <w:rFonts w:hint="eastAsia" w:ascii="Arial" w:hAnsi="Arial" w:cs="Arial"/>
                <w:szCs w:val="21"/>
                <w:lang w:val="en-US" w:eastAsia="zh-CN"/>
              </w:rPr>
              <w:t>4.0</w:t>
            </w:r>
            <w:r>
              <w:rPr>
                <w:rFonts w:hint="eastAsia"/>
                <w:bCs/>
                <w:color w:val="000000"/>
                <w:szCs w:val="21"/>
              </w:rPr>
              <w:t>MHz</w:t>
            </w:r>
            <w:r>
              <w:rPr>
                <w:rFonts w:hint="eastAsia"/>
                <w:bCs/>
                <w:color w:val="000000"/>
                <w:szCs w:val="21"/>
                <w:lang w:eastAsia="zh-CN"/>
              </w:rPr>
              <w:t>探头各一个。</w:t>
            </w:r>
            <w:r>
              <w:rPr>
                <w:rFonts w:hint="eastAsia"/>
                <w:bCs/>
                <w:color w:val="000000"/>
                <w:szCs w:val="21"/>
                <w:lang w:val="en-US" w:eastAsia="zh-CN"/>
              </w:rPr>
              <w:t xml:space="preserve">                                          </w:t>
            </w:r>
          </w:p>
        </w:tc>
        <w:tc>
          <w:tcPr>
            <w:tcW w:w="2013" w:type="dxa"/>
            <w:noWrap w:val="0"/>
            <w:vAlign w:val="top"/>
          </w:tcPr>
          <w:p>
            <w:pPr>
              <w:rPr>
                <w:rFonts w:hint="eastAsia" w:ascii="宋体" w:hAnsi="宋体"/>
                <w:bCs/>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5657" w:type="dxa"/>
            <w:noWrap w:val="0"/>
            <w:vAlign w:val="top"/>
          </w:tcPr>
          <w:p>
            <w:pPr>
              <w:rPr>
                <w:rFonts w:hint="eastAsia" w:ascii="宋体" w:hAnsi="宋体" w:eastAsia="宋体" w:cs="Times New Roman"/>
                <w:bCs/>
                <w:kern w:val="2"/>
                <w:sz w:val="21"/>
                <w:szCs w:val="21"/>
                <w:lang w:val="zh-CN" w:eastAsia="zh-CN" w:bidi="ar-SA"/>
              </w:rPr>
            </w:pPr>
            <w:r>
              <w:rPr>
                <w:rFonts w:hint="eastAsia" w:ascii="宋体" w:hAnsi="宋体"/>
                <w:bCs/>
                <w:szCs w:val="21"/>
                <w:lang w:val="zh-CN"/>
              </w:rPr>
              <w:t>术中监护探头</w:t>
            </w:r>
            <w:r>
              <w:rPr>
                <w:rFonts w:hint="default" w:ascii="Arial" w:hAnsi="Arial" w:cs="Arial"/>
                <w:szCs w:val="21"/>
                <w:lang w:eastAsia="zh-CN"/>
              </w:rPr>
              <w:t>≥</w:t>
            </w:r>
            <w:r>
              <w:rPr>
                <w:rFonts w:hint="eastAsia" w:ascii="Arial" w:hAnsi="Arial" w:cs="Arial"/>
                <w:szCs w:val="21"/>
                <w:lang w:val="en-US" w:eastAsia="zh-CN"/>
              </w:rPr>
              <w:t>1.6</w:t>
            </w:r>
            <w:r>
              <w:rPr>
                <w:rFonts w:hint="eastAsia"/>
                <w:bCs/>
                <w:color w:val="000000"/>
                <w:szCs w:val="21"/>
              </w:rPr>
              <w:t>MHz</w:t>
            </w:r>
            <w:r>
              <w:rPr>
                <w:rFonts w:hint="eastAsia"/>
                <w:bCs/>
                <w:color w:val="000000"/>
                <w:szCs w:val="21"/>
                <w:lang w:eastAsia="zh-CN"/>
              </w:rPr>
              <w:t>，该探头数量要求两个。</w:t>
            </w:r>
          </w:p>
        </w:tc>
        <w:tc>
          <w:tcPr>
            <w:tcW w:w="2013" w:type="dxa"/>
            <w:noWrap w:val="0"/>
            <w:vAlign w:val="top"/>
          </w:tcPr>
          <w:p>
            <w:pPr>
              <w:rPr>
                <w:rFonts w:hint="eastAsia" w:ascii="宋体" w:hAnsi="宋体"/>
                <w:bCs/>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p>
        </w:tc>
        <w:tc>
          <w:tcPr>
            <w:tcW w:w="5657" w:type="dxa"/>
            <w:noWrap w:val="0"/>
            <w:vAlign w:val="top"/>
          </w:tcPr>
          <w:p>
            <w:pPr>
              <w:rPr>
                <w:rFonts w:hint="eastAsia" w:ascii="宋体" w:hAnsi="宋体" w:eastAsia="宋体"/>
                <w:bCs/>
                <w:szCs w:val="21"/>
                <w:lang w:val="en-US" w:eastAsia="zh-CN"/>
              </w:rPr>
            </w:pPr>
            <w:r>
              <w:rPr>
                <w:rFonts w:hint="eastAsia" w:ascii="宋体" w:hAnsi="宋体"/>
                <w:bCs/>
                <w:szCs w:val="21"/>
                <w:lang w:val="zh-CN"/>
              </w:rPr>
              <w:t>术中监护探头</w:t>
            </w:r>
            <w:r>
              <w:rPr>
                <w:rFonts w:hint="default" w:ascii="Arial" w:hAnsi="Arial" w:cs="Arial"/>
                <w:szCs w:val="21"/>
                <w:lang w:eastAsia="zh-CN"/>
              </w:rPr>
              <w:t>≥</w:t>
            </w:r>
            <w:r>
              <w:rPr>
                <w:rFonts w:hint="eastAsia" w:ascii="Arial" w:hAnsi="Arial" w:cs="Arial"/>
                <w:szCs w:val="21"/>
                <w:lang w:val="en-US" w:eastAsia="zh-CN"/>
              </w:rPr>
              <w:t>16</w:t>
            </w:r>
            <w:r>
              <w:rPr>
                <w:rFonts w:hint="eastAsia"/>
                <w:bCs/>
                <w:color w:val="000000"/>
                <w:szCs w:val="21"/>
              </w:rPr>
              <w:t>MHz</w:t>
            </w:r>
            <w:r>
              <w:rPr>
                <w:rFonts w:hint="eastAsia"/>
                <w:bCs/>
                <w:color w:val="000000"/>
                <w:szCs w:val="21"/>
                <w:lang w:eastAsia="zh-CN"/>
              </w:rPr>
              <w:t>一个。</w:t>
            </w:r>
          </w:p>
        </w:tc>
        <w:tc>
          <w:tcPr>
            <w:tcW w:w="2013" w:type="dxa"/>
            <w:noWrap w:val="0"/>
            <w:vAlign w:val="top"/>
          </w:tcPr>
          <w:p>
            <w:pPr>
              <w:rPr>
                <w:rFonts w:hint="eastAsia" w:ascii="宋体" w:hAnsi="宋体"/>
                <w:bCs/>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60" w:type="dxa"/>
            <w:tcBorders>
              <w:left w:val="single" w:color="auto" w:sz="4" w:space="0"/>
            </w:tcBorders>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57" w:type="dxa"/>
            <w:noWrap w:val="0"/>
            <w:vAlign w:val="top"/>
          </w:tcPr>
          <w:p>
            <w:pPr>
              <w:rPr>
                <w:rFonts w:hint="eastAsia"/>
                <w:color w:val="000000"/>
                <w:szCs w:val="21"/>
              </w:rPr>
            </w:pPr>
            <w:r>
              <w:rPr>
                <w:rFonts w:hint="eastAsia"/>
                <w:color w:val="000000"/>
                <w:szCs w:val="21"/>
              </w:rPr>
              <w:t>硬件配置：</w:t>
            </w:r>
          </w:p>
        </w:tc>
        <w:tc>
          <w:tcPr>
            <w:tcW w:w="2013" w:type="dxa"/>
            <w:noWrap w:val="0"/>
            <w:vAlign w:val="top"/>
          </w:tcPr>
          <w:p>
            <w:pPr>
              <w:rPr>
                <w:rFonts w:hint="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color w:val="000000"/>
                <w:szCs w:val="21"/>
              </w:rPr>
            </w:pPr>
            <w:r>
              <w:rPr>
                <w:rFonts w:hint="eastAsia"/>
                <w:bCs/>
                <w:color w:val="000000"/>
                <w:szCs w:val="21"/>
                <w:lang w:val="en-US" w:eastAsia="zh-CN"/>
              </w:rPr>
              <w:t>国际品牌</w:t>
            </w:r>
            <w:r>
              <w:rPr>
                <w:rFonts w:hint="eastAsia"/>
                <w:bCs/>
                <w:color w:val="000000"/>
                <w:szCs w:val="21"/>
              </w:rPr>
              <w:t>彩色激光打印机1台</w:t>
            </w:r>
          </w:p>
        </w:tc>
        <w:tc>
          <w:tcPr>
            <w:tcW w:w="2013" w:type="dxa"/>
            <w:noWrap w:val="0"/>
            <w:vAlign w:val="top"/>
          </w:tcPr>
          <w:p>
            <w:pPr>
              <w:rPr>
                <w:rFonts w:hint="eastAsia"/>
                <w:bCs/>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color w:val="000000"/>
                <w:szCs w:val="21"/>
              </w:rPr>
            </w:pPr>
            <w:r>
              <w:rPr>
                <w:rFonts w:hint="eastAsia" w:ascii="宋体" w:hAnsi="宋体"/>
                <w:bCs/>
                <w:color w:val="000000"/>
                <w:szCs w:val="21"/>
                <w:lang w:val="zh-CN"/>
              </w:rPr>
              <w:t>监护探头头部支架1个。</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0" w:type="dxa"/>
            <w:tcBorders>
              <w:bottom w:val="single" w:color="auto" w:sz="4" w:space="0"/>
            </w:tcBorders>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tcBorders>
              <w:bottom w:val="single" w:color="auto" w:sz="4" w:space="0"/>
            </w:tcBorders>
            <w:noWrap w:val="0"/>
            <w:vAlign w:val="top"/>
          </w:tcPr>
          <w:p>
            <w:pPr>
              <w:rPr>
                <w:rFonts w:hint="eastAsia"/>
                <w:color w:val="000000"/>
                <w:szCs w:val="21"/>
              </w:rPr>
            </w:pPr>
            <w:r>
              <w:rPr>
                <w:rFonts w:hint="eastAsia" w:ascii="宋体" w:hAnsi="宋体"/>
                <w:bCs/>
                <w:color w:val="000000"/>
                <w:szCs w:val="21"/>
                <w:lang w:val="zh-CN"/>
              </w:rPr>
              <w:t>配备具有</w:t>
            </w:r>
            <w:r>
              <w:rPr>
                <w:rFonts w:hint="eastAsia" w:ascii="宋体" w:hAnsi="宋体"/>
                <w:bCs/>
                <w:color w:val="000000"/>
                <w:szCs w:val="21"/>
              </w:rPr>
              <w:t>"防水、防尘、防震"三十键位以上的硅胶远程遥控小键盘，</w:t>
            </w:r>
            <w:r>
              <w:rPr>
                <w:rFonts w:hint="eastAsia" w:ascii="宋体" w:hAnsi="宋体"/>
                <w:color w:val="000000"/>
                <w:szCs w:val="21"/>
              </w:rPr>
              <w:t>至少含四个可以自定义的功能键</w:t>
            </w:r>
          </w:p>
        </w:tc>
        <w:tc>
          <w:tcPr>
            <w:tcW w:w="2013" w:type="dxa"/>
            <w:tcBorders>
              <w:bottom w:val="single" w:color="auto" w:sz="4" w:space="0"/>
            </w:tcBorders>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ascii="宋体" w:hAnsi="宋体"/>
                <w:bCs/>
                <w:color w:val="000000"/>
                <w:szCs w:val="21"/>
                <w:lang w:val="zh-CN"/>
              </w:rPr>
            </w:pPr>
            <w:r>
              <w:rPr>
                <w:rFonts w:hint="eastAsia" w:ascii="宋体" w:hAnsi="宋体"/>
                <w:bCs/>
                <w:color w:val="000000"/>
                <w:szCs w:val="21"/>
                <w:lang w:val="zh-CN"/>
              </w:rPr>
              <w:t>专用移动式台车一架</w:t>
            </w:r>
          </w:p>
        </w:tc>
        <w:tc>
          <w:tcPr>
            <w:tcW w:w="2013" w:type="dxa"/>
            <w:noWrap w:val="0"/>
            <w:vAlign w:val="top"/>
          </w:tcPr>
          <w:p>
            <w:pPr>
              <w:rPr>
                <w:rFonts w:hint="eastAsia" w:ascii="宋体" w:hAnsi="宋体"/>
                <w:bCs/>
                <w:color w:val="00000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ascii="宋体" w:hAnsi="宋体"/>
                <w:bCs/>
                <w:color w:val="000000"/>
                <w:szCs w:val="21"/>
                <w:lang w:val="en-US" w:eastAsia="zh-CN"/>
              </w:rPr>
            </w:pPr>
            <w:r>
              <w:rPr>
                <w:rFonts w:hint="eastAsia" w:ascii="宋体" w:hAnsi="宋体"/>
                <w:bCs/>
                <w:color w:val="000000"/>
                <w:szCs w:val="21"/>
              </w:rPr>
              <w:t>售后服务要求：整机免费保修三年（含所有零部件，包括须定期更换零部件）</w:t>
            </w:r>
          </w:p>
        </w:tc>
        <w:tc>
          <w:tcPr>
            <w:tcW w:w="2013" w:type="dxa"/>
            <w:noWrap w:val="0"/>
            <w:vAlign w:val="top"/>
          </w:tcPr>
          <w:p>
            <w:pPr>
              <w:spacing w:line="480" w:lineRule="auto"/>
              <w:rPr>
                <w:rFonts w:hint="eastAsia" w:ascii="宋体" w:hAnsi="宋体"/>
                <w:bCs/>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0" w:type="dxa"/>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noWrap w:val="0"/>
            <w:vAlign w:val="top"/>
          </w:tcPr>
          <w:p>
            <w:pPr>
              <w:rPr>
                <w:rFonts w:hint="eastAsia" w:ascii="宋体" w:hAnsi="宋体"/>
                <w:bCs/>
                <w:color w:val="000000"/>
                <w:szCs w:val="21"/>
                <w:lang w:val="en-US" w:eastAsia="zh-CN"/>
              </w:rPr>
            </w:pPr>
            <w:r>
              <w:rPr>
                <w:rFonts w:hint="eastAsia" w:ascii="宋体" w:hAnsi="宋体"/>
                <w:bCs/>
                <w:color w:val="000000"/>
                <w:szCs w:val="21"/>
              </w:rPr>
              <w:t>提供近3年内同机型设备国内医院用户合同</w:t>
            </w:r>
            <w:r>
              <w:rPr>
                <w:rFonts w:hint="eastAsia" w:ascii="宋体" w:hAnsi="宋体"/>
                <w:bCs/>
                <w:color w:val="000000"/>
                <w:szCs w:val="21"/>
                <w:lang w:val="en-US" w:eastAsia="zh-CN"/>
              </w:rPr>
              <w:t>5</w:t>
            </w:r>
            <w:r>
              <w:rPr>
                <w:rFonts w:hint="eastAsia" w:ascii="宋体" w:hAnsi="宋体"/>
                <w:bCs/>
                <w:color w:val="000000"/>
                <w:szCs w:val="21"/>
              </w:rPr>
              <w:t>家及以上，标书内提供清晰的合同原件扫描件并加盖公章（遮盖认定为无效业绩）</w:t>
            </w:r>
          </w:p>
        </w:tc>
        <w:tc>
          <w:tcPr>
            <w:tcW w:w="2013" w:type="dxa"/>
            <w:noWrap w:val="0"/>
            <w:vAlign w:val="top"/>
          </w:tcPr>
          <w:p>
            <w:pPr>
              <w:spacing w:line="480" w:lineRule="auto"/>
              <w:rPr>
                <w:rFonts w:hint="eastAsia" w:ascii="宋体" w:hAnsi="宋体"/>
                <w:bCs/>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0" w:type="dxa"/>
            <w:tcBorders>
              <w:bottom w:val="single" w:color="auto" w:sz="4" w:space="0"/>
            </w:tcBorders>
            <w:noWrap w:val="0"/>
            <w:vAlign w:val="top"/>
          </w:tcPr>
          <w:p>
            <w:pPr>
              <w:numPr>
                <w:ilvl w:val="0"/>
                <w:numId w:val="1"/>
              </w:numPr>
              <w:ind w:left="425" w:leftChars="0" w:hanging="425" w:firstLineChars="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p>
        </w:tc>
        <w:tc>
          <w:tcPr>
            <w:tcW w:w="5657" w:type="dxa"/>
            <w:tcBorders>
              <w:bottom w:val="single" w:color="auto" w:sz="4" w:space="0"/>
            </w:tcBorders>
            <w:noWrap w:val="0"/>
            <w:vAlign w:val="top"/>
          </w:tcPr>
          <w:p>
            <w:pPr>
              <w:spacing w:line="480" w:lineRule="auto"/>
              <w:rPr>
                <w:rFonts w:hint="eastAsia" w:ascii="宋体" w:hAnsi="宋体"/>
                <w:bCs/>
                <w:szCs w:val="21"/>
                <w:lang w:val="en-US" w:eastAsia="zh-CN"/>
              </w:rPr>
            </w:pPr>
            <w:r>
              <w:rPr>
                <w:rFonts w:hint="eastAsia" w:ascii="宋体" w:hAnsi="宋体"/>
                <w:bCs/>
                <w:color w:val="000000"/>
                <w:szCs w:val="21"/>
              </w:rPr>
              <w:t>耗材开放，提供须定期更换零部件报价清单和耗材报价清单</w:t>
            </w:r>
          </w:p>
        </w:tc>
        <w:tc>
          <w:tcPr>
            <w:tcW w:w="2013" w:type="dxa"/>
            <w:tcBorders>
              <w:bottom w:val="single" w:color="auto" w:sz="4" w:space="0"/>
            </w:tcBorders>
            <w:noWrap w:val="0"/>
            <w:vAlign w:val="top"/>
          </w:tcPr>
          <w:p>
            <w:pPr>
              <w:spacing w:line="480" w:lineRule="auto"/>
              <w:rPr>
                <w:rFonts w:hint="eastAsia" w:ascii="宋体" w:hAnsi="宋体"/>
                <w:bCs/>
                <w:szCs w:val="21"/>
                <w:lang w:val="en-US" w:eastAsia="zh-CN"/>
              </w:rPr>
            </w:pPr>
          </w:p>
        </w:tc>
      </w:tr>
    </w:tbl>
    <w:p>
      <w:pPr>
        <w:spacing w:line="420" w:lineRule="exact"/>
        <w:ind w:firstLine="301" w:firstLineChars="100"/>
        <w:jc w:val="center"/>
        <w:rPr>
          <w:rFonts w:hint="eastAsia" w:ascii="黑体" w:hAnsi="宋体" w:eastAsia="黑体"/>
          <w:b/>
          <w:sz w:val="30"/>
          <w:szCs w:val="30"/>
        </w:rPr>
      </w:pPr>
    </w:p>
    <w:p>
      <w:pPr>
        <w:spacing w:line="420" w:lineRule="exact"/>
        <w:ind w:firstLine="301" w:firstLineChars="100"/>
        <w:jc w:val="center"/>
        <w:rPr>
          <w:rFonts w:hint="eastAsia" w:ascii="黑体" w:hAnsi="宋体" w:eastAsia="黑体"/>
          <w:b/>
          <w:sz w:val="30"/>
          <w:szCs w:val="30"/>
        </w:rPr>
      </w:pPr>
    </w:p>
    <w:p>
      <w:pPr>
        <w:spacing w:line="420" w:lineRule="exact"/>
        <w:ind w:firstLine="560" w:firstLineChars="200"/>
        <w:jc w:val="left"/>
        <w:rPr>
          <w:rFonts w:asciiTheme="minorEastAsia" w:hAnsiTheme="minorEastAsia"/>
          <w:sz w:val="28"/>
          <w:szCs w:val="28"/>
        </w:rPr>
      </w:pPr>
      <w:r>
        <w:rPr>
          <w:rStyle w:val="5"/>
          <w:rFonts w:hint="eastAsia" w:asciiTheme="minorEastAsia" w:hAnsiTheme="minorEastAsia"/>
          <w:sz w:val="28"/>
          <w:szCs w:val="28"/>
        </w:rPr>
        <w:t>须定期更换零部件报价清单（样表）</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1559"/>
        <w:gridCol w:w="1843"/>
        <w:gridCol w:w="1276"/>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须定期更换零部件</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规格型号</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价格（元/个）</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是否开放</w:t>
            </w: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r>
    </w:tbl>
    <w:p>
      <w:pPr>
        <w:spacing w:line="400" w:lineRule="exact"/>
        <w:jc w:val="left"/>
        <w:rPr>
          <w:rFonts w:asciiTheme="minorEastAsia" w:hAnsiTheme="minorEastAsia"/>
          <w:sz w:val="28"/>
          <w:szCs w:val="28"/>
        </w:rPr>
      </w:pPr>
      <w:r>
        <w:rPr>
          <w:rStyle w:val="5"/>
          <w:rFonts w:hint="eastAsia" w:asciiTheme="minorEastAsia" w:hAnsiTheme="minorEastAsia"/>
          <w:sz w:val="28"/>
          <w:szCs w:val="28"/>
        </w:rPr>
        <w:t xml:space="preserve">    耗材报价清单（样表）</w:t>
      </w:r>
    </w:p>
    <w:tbl>
      <w:tblPr>
        <w:tblStyle w:val="3"/>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850"/>
        <w:gridCol w:w="1276"/>
        <w:gridCol w:w="1559"/>
        <w:gridCol w:w="127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耗材使用学科</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名称</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规格型号</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价格（元/个）</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r>
              <w:rPr>
                <w:rFonts w:hint="eastAsia" w:asciiTheme="minorEastAsia" w:hAnsiTheme="minorEastAsia"/>
                <w:sz w:val="28"/>
                <w:szCs w:val="28"/>
              </w:rPr>
              <w:t>是否开放</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b/>
                <w:sz w:val="28"/>
                <w:szCs w:val="28"/>
              </w:rPr>
            </w:pPr>
            <w:r>
              <w:rPr>
                <w:rFonts w:hint="eastAsia" w:asciiTheme="minorEastAsia" w:hAnsiTheme="minorEastAsia"/>
                <w:b/>
                <w:sz w:val="28"/>
                <w:szCs w:val="28"/>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440" w:lineRule="exact"/>
              <w:jc w:val="left"/>
              <w:rPr>
                <w:rFonts w:asciiTheme="minorEastAsia" w:hAnsiTheme="minorEastAsia"/>
                <w:sz w:val="28"/>
                <w:szCs w:val="28"/>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50370"/>
    <w:multiLevelType w:val="singleLevel"/>
    <w:tmpl w:val="5785037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E4279"/>
    <w:rsid w:val="4942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今晚打老虎จุ๊บ</cp:lastModifiedBy>
  <dcterms:modified xsi:type="dcterms:W3CDTF">2020-09-11T06:45:09Z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