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神经外科专业手术椅</w:t>
      </w:r>
      <w:r>
        <w:rPr>
          <w:rFonts w:hint="eastAsia"/>
          <w:b/>
          <w:sz w:val="28"/>
          <w:szCs w:val="28"/>
        </w:rPr>
        <w:t>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3"/>
        <w:tblpPr w:leftFromText="180" w:rightFromText="180" w:vertAnchor="text" w:horzAnchor="page" w:tblpX="1817" w:tblpY="2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手术椅: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带脚踏式液压升降系统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升降行程范围480-620mm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坐面水平倾角可调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坐面尺寸380X450mm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带可调式腰托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腰托尺寸180X330mm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带双臂支撑托架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托架尺寸80X320mm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eastAsia"/>
              </w:rPr>
              <w:t>底盘尺寸520X590mm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eastAsia"/>
              </w:rPr>
              <w:t>静音滚轮，可锁</w:t>
            </w:r>
          </w:p>
        </w:tc>
        <w:tc>
          <w:tcPr>
            <w:tcW w:w="39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tbl>
      <w:tblPr>
        <w:tblStyle w:val="3"/>
        <w:tblpPr w:leftFromText="180" w:rightFromText="180" w:vertAnchor="text" w:horzAnchor="page" w:tblpX="1817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  <w:vAlign w:val="top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12、售后：免费保修3年，维修期满后只收取配件费用无其他费用。</w:t>
            </w:r>
          </w:p>
        </w:tc>
        <w:tc>
          <w:tcPr>
            <w:tcW w:w="2836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13、 投标人提供近三年医院用户≥3家，投标文件内提供合同复印件加盖公章（原件待成交后七个工作日内备查），用户名单单独列表。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、 列出相关耗材、主要零配件的规格型号及报价清单。（如电机，压力表，挤压装置，密封圈，重力阀，电动球阀等）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31678"/>
    <w:rsid w:val="0E6A001A"/>
    <w:rsid w:val="15A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2020-08-20T08:06:00Z</dcterms:created>
  <dc:creator>今晚打老虎จุ๊บ</dc:creator>
  <cp:lastModifiedBy>今晚打老虎จุ๊บ</cp:lastModifiedBy>
  <dcterms:modified xsi:type="dcterms:W3CDTF">2020-08-24T09:41:26Z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