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阴茎硬度测量仪参数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供应商、联系人及电话（盖章）：</w:t>
      </w:r>
    </w:p>
    <w:p>
      <w:pPr>
        <w:tabs>
          <w:tab w:val="left" w:pos="6300"/>
        </w:tabs>
        <w:spacing w:line="300" w:lineRule="auto"/>
        <w:jc w:val="both"/>
        <w:rPr>
          <w:rFonts w:hint="eastAsia" w:ascii="宋体" w:hAnsi="宋体"/>
          <w:b w:val="0"/>
          <w:bCs/>
          <w:sz w:val="24"/>
          <w:szCs w:val="24"/>
        </w:rPr>
      </w:pPr>
      <w:r>
        <w:rPr>
          <w:rFonts w:hint="eastAsia" w:ascii="宋体" w:hAnsi="宋体"/>
          <w:b w:val="0"/>
          <w:bCs/>
          <w:sz w:val="24"/>
          <w:szCs w:val="24"/>
        </w:rPr>
        <w:t>产品品牌、型号、产地、注册证号及最低报价：</w:t>
      </w:r>
    </w:p>
    <w:p>
      <w:pPr>
        <w:jc w:val="both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/>
          <w:b w:val="0"/>
          <w:bCs/>
          <w:sz w:val="24"/>
          <w:szCs w:val="24"/>
        </w:rPr>
        <w:t>注：按要求格式填写并每页加盖公章，响应就写响应或无偏离，不响应请在响应情况一栏写出建议修改参数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3"/>
        <w:gridCol w:w="2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一、</w:t>
            </w:r>
            <w:r>
              <w:rPr>
                <w:rFonts w:hint="eastAsia"/>
                <w:sz w:val="28"/>
              </w:rPr>
              <w:t>阴茎夜间勃起模块</w:t>
            </w:r>
          </w:p>
        </w:tc>
        <w:tc>
          <w:tcPr>
            <w:tcW w:w="219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1.通过夜间记录仪记录勃起情况，检测报告可以区分心理性勃起障碍的器质性勃起障碍。</w:t>
            </w:r>
          </w:p>
        </w:tc>
        <w:tc>
          <w:tcPr>
            <w:tcW w:w="2199" w:type="dxa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2.连续记录时间不小于8小时；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3.可记录男性在睡眠过程中勃起变化的曲线。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4.电刺激强度0</w:t>
            </w:r>
            <w:r>
              <w:rPr>
                <w:rFonts w:hint="eastAsia"/>
                <w:sz w:val="28"/>
                <w:lang w:val="en-US" w:eastAsia="zh-CN"/>
              </w:rPr>
              <w:t>-</w:t>
            </w:r>
            <w:r>
              <w:rPr>
                <w:rFonts w:hint="eastAsia"/>
                <w:sz w:val="28"/>
              </w:rPr>
              <w:t>31V可调；（附注册证等证明材料）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5.检测报告可反应阴茎拉力值 0N-2.5N（提供检测报告，说明书等证明材料）</w:t>
            </w:r>
          </w:p>
        </w:tc>
        <w:tc>
          <w:tcPr>
            <w:tcW w:w="2199" w:type="dxa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6.检测报告可反应最大拉力强度，持续时间，勃起次数等客观指标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二、</w:t>
            </w:r>
            <w:r>
              <w:rPr>
                <w:rFonts w:hint="eastAsia"/>
                <w:sz w:val="28"/>
              </w:rPr>
              <w:t>阴茎敏感度模块</w:t>
            </w:r>
            <w:r>
              <w:rPr>
                <w:rFonts w:hint="eastAsia"/>
                <w:sz w:val="28"/>
              </w:rPr>
              <w:tab/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 xml:space="preserve">1.通过对阴茎龟头等部位的生物震动感觉阈值测量，定量的评价阴茎等部位感觉神经的敏感程度。 </w:t>
            </w:r>
          </w:p>
        </w:tc>
        <w:tc>
          <w:tcPr>
            <w:tcW w:w="2199" w:type="dxa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2.可反应阴茎头，阴茎体生物反馈阈值。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3.阈值正常参考范围4v-6v（提供检测报告，说明书等证明材料）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4.振动头振动主频100Hz，振动主频误差：≤±5%。（附注册证等证明材料）</w:t>
            </w:r>
          </w:p>
        </w:tc>
        <w:tc>
          <w:tcPr>
            <w:tcW w:w="2199" w:type="dxa"/>
          </w:tcPr>
          <w:p>
            <w:pPr>
              <w:jc w:val="left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5.振动头应该耐受医用酒精反复擦拭消毒，不应损坏。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6.感觉阈值读数连续检测差异一般应小于10%。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7.检测报告需反应6个部位的数值，包括阴茎头，食指，阴茎体等。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三、售后服务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1</w:t>
            </w:r>
            <w:r>
              <w:rPr>
                <w:rFonts w:hint="eastAsia"/>
                <w:sz w:val="28"/>
              </w:rPr>
              <w:t>、整机免费保修≥三年，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</w:rPr>
              <w:t>、投标人提供近三年同机型医院用户≥5家，投标文件内提供清晰合同复印件加盖公章（原件待成交后七个工作日内备查），用户名单单独列表。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23" w:type="dxa"/>
          </w:tcPr>
          <w:p>
            <w:pPr>
              <w:jc w:val="both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3</w:t>
            </w:r>
            <w:r>
              <w:rPr>
                <w:rFonts w:hint="eastAsia"/>
                <w:sz w:val="28"/>
              </w:rPr>
              <w:t>、列出设备配套使用的耗材及易损零配件的价格清单。</w:t>
            </w:r>
          </w:p>
        </w:tc>
        <w:tc>
          <w:tcPr>
            <w:tcW w:w="2199" w:type="dxa"/>
          </w:tcPr>
          <w:p>
            <w:pPr>
              <w:jc w:val="both"/>
              <w:rPr>
                <w:rFonts w:hint="eastAsia"/>
                <w:sz w:val="28"/>
                <w:lang w:val="en-US" w:eastAsia="zh-CN"/>
              </w:rPr>
            </w:pPr>
          </w:p>
        </w:tc>
      </w:tr>
    </w:tbl>
    <w:p>
      <w:pPr>
        <w:jc w:val="center"/>
        <w:rPr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C533E44"/>
    <w:rsid w:val="00035417"/>
    <w:rsid w:val="000B7168"/>
    <w:rsid w:val="0016634B"/>
    <w:rsid w:val="002A0064"/>
    <w:rsid w:val="002F6AFE"/>
    <w:rsid w:val="00304523"/>
    <w:rsid w:val="003056DB"/>
    <w:rsid w:val="00315179"/>
    <w:rsid w:val="003844E3"/>
    <w:rsid w:val="004659BD"/>
    <w:rsid w:val="00470E1C"/>
    <w:rsid w:val="004801F1"/>
    <w:rsid w:val="004E566D"/>
    <w:rsid w:val="00546A4D"/>
    <w:rsid w:val="0055047B"/>
    <w:rsid w:val="00612C79"/>
    <w:rsid w:val="006A7610"/>
    <w:rsid w:val="006B0C1C"/>
    <w:rsid w:val="00731AE1"/>
    <w:rsid w:val="007A1232"/>
    <w:rsid w:val="007A37EF"/>
    <w:rsid w:val="008141F1"/>
    <w:rsid w:val="008924A4"/>
    <w:rsid w:val="00897D25"/>
    <w:rsid w:val="008E0D62"/>
    <w:rsid w:val="00962E35"/>
    <w:rsid w:val="00986C27"/>
    <w:rsid w:val="00A82685"/>
    <w:rsid w:val="00AB2FF7"/>
    <w:rsid w:val="00B631CF"/>
    <w:rsid w:val="00BB7167"/>
    <w:rsid w:val="00BD5A8D"/>
    <w:rsid w:val="00C374DA"/>
    <w:rsid w:val="00CD0AD0"/>
    <w:rsid w:val="00CE5771"/>
    <w:rsid w:val="00CF6488"/>
    <w:rsid w:val="00D41FE5"/>
    <w:rsid w:val="00DB35ED"/>
    <w:rsid w:val="00E17293"/>
    <w:rsid w:val="00E23C43"/>
    <w:rsid w:val="00E336AA"/>
    <w:rsid w:val="00EE6505"/>
    <w:rsid w:val="00EF2387"/>
    <w:rsid w:val="00F6357E"/>
    <w:rsid w:val="00FA0B34"/>
    <w:rsid w:val="00FB43A8"/>
    <w:rsid w:val="01A639D4"/>
    <w:rsid w:val="04C51BD0"/>
    <w:rsid w:val="08AF7B7C"/>
    <w:rsid w:val="0911127E"/>
    <w:rsid w:val="095F6382"/>
    <w:rsid w:val="0B992E1B"/>
    <w:rsid w:val="10F22814"/>
    <w:rsid w:val="18DC663B"/>
    <w:rsid w:val="1CA30A2F"/>
    <w:rsid w:val="25D245E0"/>
    <w:rsid w:val="2B5D0E25"/>
    <w:rsid w:val="2C533E44"/>
    <w:rsid w:val="31FD0EBD"/>
    <w:rsid w:val="325D6C20"/>
    <w:rsid w:val="36DC03AA"/>
    <w:rsid w:val="38904E94"/>
    <w:rsid w:val="39A42720"/>
    <w:rsid w:val="3B363445"/>
    <w:rsid w:val="3BFF7194"/>
    <w:rsid w:val="3F6D628A"/>
    <w:rsid w:val="45EB492D"/>
    <w:rsid w:val="47D317D0"/>
    <w:rsid w:val="49025EE9"/>
    <w:rsid w:val="4BBF3C83"/>
    <w:rsid w:val="4C014270"/>
    <w:rsid w:val="4D1918D0"/>
    <w:rsid w:val="4EB67A46"/>
    <w:rsid w:val="4FC409D7"/>
    <w:rsid w:val="51146046"/>
    <w:rsid w:val="53394991"/>
    <w:rsid w:val="54F05F37"/>
    <w:rsid w:val="55A141E1"/>
    <w:rsid w:val="5952036B"/>
    <w:rsid w:val="5FA55477"/>
    <w:rsid w:val="607A5099"/>
    <w:rsid w:val="6109052F"/>
    <w:rsid w:val="622771C8"/>
    <w:rsid w:val="6259518E"/>
    <w:rsid w:val="67F24598"/>
    <w:rsid w:val="6A21234E"/>
    <w:rsid w:val="6B162EFF"/>
    <w:rsid w:val="70FD078C"/>
    <w:rsid w:val="75800122"/>
    <w:rsid w:val="77793498"/>
    <w:rsid w:val="79C81D26"/>
    <w:rsid w:val="79E8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363</Characters>
  <Lines>3</Lines>
  <Paragraphs>1</Paragraphs>
  <TotalTime>2</TotalTime>
  <ScaleCrop>false</ScaleCrop>
  <LinksUpToDate>false</LinksUpToDate>
  <CharactersWithSpaces>425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2020-06-03T09:45:00Z</dcterms:created>
  <dc:creator>兰心.余</dc:creator>
  <cp:lastModifiedBy>胡绪飞</cp:lastModifiedBy>
  <dcterms:modified xsi:type="dcterms:W3CDTF">2020-06-30T00:48:48Z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